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黑体" w:eastAsia="黑体" w:cs="Times New Roman"/>
          <w:sz w:val="24"/>
        </w:rPr>
      </w:pPr>
      <w:bookmarkStart w:id="0" w:name="_Toc308180609"/>
      <w:r>
        <w:rPr>
          <w:rFonts w:hint="eastAsia" w:ascii="黑体" w:eastAsia="黑体" w:cs="黑体"/>
          <w:sz w:val="24"/>
        </w:rPr>
        <w:t>车市扫描</w:t>
      </w:r>
      <w:r>
        <w:rPr>
          <w:rFonts w:ascii="黑体" w:eastAsia="黑体" w:cs="黑体"/>
          <w:sz w:val="24"/>
        </w:rPr>
        <w:t>-2020</w:t>
      </w:r>
      <w:r>
        <w:rPr>
          <w:rFonts w:hint="eastAsia" w:ascii="黑体" w:eastAsia="黑体" w:cs="黑体"/>
          <w:sz w:val="24"/>
        </w:rPr>
        <w:t>年</w:t>
      </w:r>
      <w:r>
        <w:rPr>
          <w:rFonts w:ascii="黑体" w:eastAsia="黑体" w:cs="黑体"/>
          <w:sz w:val="24"/>
        </w:rPr>
        <w:t>2</w:t>
      </w:r>
      <w:r>
        <w:rPr>
          <w:rFonts w:hint="eastAsia" w:ascii="黑体" w:eastAsia="黑体" w:cs="黑体"/>
          <w:sz w:val="24"/>
        </w:rPr>
        <w:t>期（</w:t>
      </w:r>
      <w:r>
        <w:rPr>
          <w:rFonts w:ascii="黑体" w:eastAsia="黑体" w:cs="黑体"/>
          <w:sz w:val="24"/>
        </w:rPr>
        <w:t>1</w:t>
      </w:r>
      <w:r>
        <w:rPr>
          <w:rFonts w:hint="eastAsia" w:ascii="黑体" w:eastAsia="黑体" w:cs="黑体"/>
          <w:sz w:val="24"/>
        </w:rPr>
        <w:t>月</w:t>
      </w:r>
      <w:r>
        <w:rPr>
          <w:rFonts w:ascii="黑体" w:eastAsia="黑体" w:cs="黑体"/>
          <w:sz w:val="24"/>
        </w:rPr>
        <w:t>1</w:t>
      </w:r>
      <w:r>
        <w:rPr>
          <w:rFonts w:hint="eastAsia" w:ascii="黑体" w:eastAsia="黑体" w:cs="黑体"/>
          <w:sz w:val="24"/>
        </w:rPr>
        <w:t>日</w:t>
      </w:r>
      <w:r>
        <w:rPr>
          <w:rFonts w:ascii="黑体" w:eastAsia="黑体" w:cs="黑体"/>
          <w:sz w:val="24"/>
        </w:rPr>
        <w:t>-1</w:t>
      </w:r>
      <w:r>
        <w:rPr>
          <w:rFonts w:hint="eastAsia" w:ascii="黑体" w:eastAsia="黑体" w:cs="黑体"/>
          <w:sz w:val="24"/>
        </w:rPr>
        <w:t>月1</w:t>
      </w:r>
      <w:r>
        <w:rPr>
          <w:rFonts w:ascii="黑体" w:eastAsia="黑体" w:cs="黑体"/>
          <w:sz w:val="24"/>
        </w:rPr>
        <w:t>2</w:t>
      </w:r>
      <w:r>
        <w:rPr>
          <w:rFonts w:hint="eastAsia" w:ascii="黑体" w:eastAsia="黑体" w:cs="黑体"/>
          <w:sz w:val="24"/>
        </w:rPr>
        <w:t>日）</w:t>
      </w:r>
      <w:bookmarkEnd w:id="0"/>
    </w:p>
    <w:p>
      <w:pPr>
        <w:rPr>
          <w:rFonts w:ascii="黑体" w:eastAsia="黑体" w:cs="黑体"/>
        </w:rPr>
      </w:pPr>
      <w:r>
        <w:rPr>
          <w:rFonts w:hint="eastAsia" w:ascii="黑体" w:eastAsia="黑体" w:cs="黑体"/>
        </w:rPr>
        <w:t>主要信息源自乘联会每日新闻等</w:t>
      </w:r>
    </w:p>
    <w:p>
      <w:pPr>
        <w:rPr>
          <w:rFonts w:ascii="黑体" w:eastAsia="黑体" w:cs="黑体"/>
        </w:rPr>
      </w:pPr>
      <w:r>
        <w:rPr>
          <w:rFonts w:hint="eastAsia" w:ascii="黑体" w:eastAsia="黑体" w:cs="黑体"/>
        </w:rPr>
        <w:t>中国汽车流通协会汽车市场研究分会</w:t>
      </w:r>
    </w:p>
    <w:p>
      <w:pPr>
        <w:rPr>
          <w:rFonts w:ascii="黑体" w:eastAsia="黑体" w:cs="黑体"/>
        </w:rPr>
      </w:pPr>
      <w:r>
        <w:rPr>
          <w:rFonts w:hint="eastAsia" w:ascii="黑体" w:eastAsia="黑体" w:cs="黑体"/>
        </w:rPr>
        <w:t>乘用车市场信息联席会（乘联会）</w:t>
      </w:r>
    </w:p>
    <w:p>
      <w:pPr>
        <w:rPr>
          <w:rFonts w:ascii="黑体" w:eastAsia="黑体" w:cs="黑体"/>
        </w:rPr>
      </w:pPr>
      <w:r>
        <w:rPr>
          <w:rFonts w:hint="eastAsia" w:ascii="黑体" w:eastAsia="黑体" w:cs="黑体"/>
        </w:rPr>
        <w:t>网站：</w:t>
      </w:r>
      <w:r>
        <w:fldChar w:fldCharType="begin"/>
      </w:r>
      <w:r>
        <w:instrText xml:space="preserve"> HYPERLINK "http://www.cpcaauto.com" </w:instrText>
      </w:r>
      <w:r>
        <w:fldChar w:fldCharType="separate"/>
      </w:r>
      <w:r>
        <w:rPr>
          <w:rStyle w:val="11"/>
          <w:rFonts w:ascii="黑体" w:eastAsia="黑体" w:cs="黑体"/>
        </w:rPr>
        <w:t>http://www.cpcaauto.com</w:t>
      </w:r>
      <w:r>
        <w:rPr>
          <w:rStyle w:val="11"/>
          <w:rFonts w:ascii="黑体" w:eastAsia="黑体" w:cs="黑体"/>
        </w:rPr>
        <w:fldChar w:fldCharType="end"/>
      </w:r>
    </w:p>
    <w:p>
      <w:pPr>
        <w:rPr>
          <w:rFonts w:cs="Times New Roman"/>
        </w:rPr>
      </w:pPr>
    </w:p>
    <w:p>
      <w:pPr>
        <w:pStyle w:val="16"/>
        <w:numPr>
          <w:ilvl w:val="0"/>
          <w:numId w:val="1"/>
        </w:numPr>
        <w:ind w:left="284" w:firstLineChars="0"/>
        <w:outlineLvl w:val="0"/>
        <w:rPr>
          <w:rFonts w:ascii="宋体" w:cs="Times New Roman"/>
          <w:b/>
          <w:bCs/>
        </w:rPr>
      </w:pPr>
      <w:r>
        <w:rPr>
          <w:rFonts w:hint="eastAsia" w:cs="宋体"/>
          <w:b/>
          <w:bCs/>
        </w:rPr>
        <w:t>本周车市概述：</w:t>
      </w:r>
    </w:p>
    <w:p>
      <w:pPr>
        <w:numPr>
          <w:ilvl w:val="0"/>
          <w:numId w:val="2"/>
        </w:numPr>
        <w:outlineLvl w:val="1"/>
        <w:rPr>
          <w:rFonts w:ascii="黑体" w:hAnsi="黑体" w:eastAsia="黑体" w:cs="Times New Roman"/>
          <w:b/>
          <w:bCs/>
          <w:sz w:val="24"/>
        </w:rPr>
      </w:pPr>
      <w:r>
        <w:rPr>
          <w:rFonts w:hint="eastAsia" w:ascii="黑体" w:hAnsi="黑体" w:eastAsia="黑体" w:cs="Times New Roman"/>
          <w:b/>
          <w:bCs/>
          <w:sz w:val="24"/>
        </w:rPr>
        <w:t>2</w:t>
      </w:r>
      <w:r>
        <w:rPr>
          <w:rFonts w:ascii="黑体" w:hAnsi="黑体" w:eastAsia="黑体" w:cs="Times New Roman"/>
          <w:b/>
          <w:bCs/>
          <w:sz w:val="24"/>
        </w:rPr>
        <w:t>020</w:t>
      </w:r>
      <w:r>
        <w:rPr>
          <w:rFonts w:hint="eastAsia" w:ascii="黑体" w:hAnsi="黑体" w:eastAsia="黑体" w:cs="Times New Roman"/>
          <w:b/>
          <w:bCs/>
          <w:sz w:val="24"/>
        </w:rPr>
        <w:t>年乘用车市场零售开局不强</w:t>
      </w:r>
    </w:p>
    <w:p>
      <w:pPr>
        <w:rPr>
          <w:rFonts w:ascii="Calibri" w:hAnsi="Calibri" w:eastAsia="宋体" w:cs="Times New Roman"/>
          <w:szCs w:val="21"/>
        </w:rPr>
      </w:pPr>
      <w:r>
        <w:rPr>
          <w:rFonts w:ascii="Calibri" w:hAnsi="Calibri" w:eastAsia="宋体" w:cs="Times New Roman"/>
          <w:szCs w:val="21"/>
        </w:rPr>
        <w:drawing>
          <wp:inline distT="0" distB="0" distL="0" distR="0">
            <wp:extent cx="4279900" cy="2895600"/>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279900" cy="2895600"/>
                    </a:xfrm>
                    <a:prstGeom prst="rect">
                      <a:avLst/>
                    </a:prstGeom>
                    <a:solidFill>
                      <a:schemeClr val="bg1"/>
                    </a:solidFill>
                  </pic:spPr>
                </pic:pic>
              </a:graphicData>
            </a:graphic>
          </wp:inline>
        </w:drawing>
      </w:r>
    </w:p>
    <w:p>
      <w:pPr>
        <w:ind w:firstLine="567" w:firstLineChars="270"/>
        <w:rPr>
          <w:rFonts w:ascii="Calibri" w:hAnsi="Calibri" w:eastAsia="宋体" w:cs="宋体"/>
          <w:szCs w:val="21"/>
        </w:rPr>
      </w:pPr>
      <w:r>
        <w:rPr>
          <w:rFonts w:ascii="Calibri" w:hAnsi="Calibri"/>
          <w:szCs w:val="21"/>
        </w:rPr>
        <w:t>1月全国乘用车市场周度零售</w:t>
      </w:r>
      <w:r>
        <w:rPr>
          <w:rFonts w:hint="eastAsia" w:ascii="Calibri" w:hAnsi="Calibri"/>
          <w:szCs w:val="21"/>
        </w:rPr>
        <w:t>起步较低。</w:t>
      </w:r>
      <w:r>
        <w:rPr>
          <w:rFonts w:ascii="Calibri" w:hAnsi="Calibri"/>
          <w:szCs w:val="21"/>
        </w:rPr>
        <w:t>1</w:t>
      </w:r>
      <w:r>
        <w:rPr>
          <w:rFonts w:hint="eastAsia" w:ascii="Calibri" w:hAnsi="Calibri"/>
          <w:szCs w:val="21"/>
        </w:rPr>
        <w:t>月第一周（1</w:t>
      </w:r>
      <w:r>
        <w:rPr>
          <w:rFonts w:ascii="Calibri" w:hAnsi="Calibri"/>
          <w:szCs w:val="21"/>
        </w:rPr>
        <w:t>-12</w:t>
      </w:r>
      <w:r>
        <w:rPr>
          <w:rFonts w:hint="eastAsia" w:ascii="Calibri" w:hAnsi="Calibri"/>
          <w:szCs w:val="21"/>
        </w:rPr>
        <w:t>日）的乘用车市场零售相对分化，第一周日均零售</w:t>
      </w:r>
      <w:r>
        <w:rPr>
          <w:rFonts w:ascii="Calibri" w:hAnsi="Calibri"/>
          <w:szCs w:val="21"/>
        </w:rPr>
        <w:t>4.9</w:t>
      </w:r>
      <w:r>
        <w:rPr>
          <w:rFonts w:hint="eastAsia" w:ascii="Calibri" w:hAnsi="Calibri"/>
          <w:szCs w:val="21"/>
        </w:rPr>
        <w:t>万台，同比增速下降</w:t>
      </w:r>
      <w:r>
        <w:rPr>
          <w:rFonts w:ascii="Calibri" w:hAnsi="Calibri"/>
          <w:szCs w:val="21"/>
        </w:rPr>
        <w:t>13</w:t>
      </w:r>
      <w:r>
        <w:rPr>
          <w:rFonts w:hint="eastAsia" w:ascii="Calibri" w:hAnsi="Calibri"/>
          <w:szCs w:val="21"/>
        </w:rPr>
        <w:t>%。第一周销量总体偏低</w:t>
      </w:r>
      <w:r>
        <w:rPr>
          <w:rFonts w:hint="eastAsia" w:ascii="Calibri" w:hAnsi="Calibri" w:eastAsia="宋体" w:cs="宋体"/>
          <w:szCs w:val="21"/>
        </w:rPr>
        <w:t>。</w:t>
      </w:r>
    </w:p>
    <w:p>
      <w:pPr>
        <w:ind w:firstLine="567" w:firstLineChars="270"/>
        <w:rPr>
          <w:rFonts w:ascii="Calibri" w:hAnsi="Calibri" w:eastAsia="宋体" w:cs="宋体"/>
          <w:szCs w:val="21"/>
        </w:rPr>
      </w:pPr>
      <w:r>
        <w:rPr>
          <w:rFonts w:hint="eastAsia" w:ascii="Calibri" w:hAnsi="Calibri" w:eastAsia="宋体" w:cs="宋体"/>
          <w:szCs w:val="21"/>
        </w:rPr>
        <w:t>由于1</w:t>
      </w:r>
      <w:r>
        <w:rPr>
          <w:rFonts w:ascii="Calibri" w:hAnsi="Calibri" w:eastAsia="宋体" w:cs="宋体"/>
          <w:szCs w:val="21"/>
        </w:rPr>
        <w:t>2</w:t>
      </w:r>
      <w:r>
        <w:rPr>
          <w:rFonts w:hint="eastAsia" w:ascii="Calibri" w:hAnsi="Calibri" w:eastAsia="宋体" w:cs="宋体"/>
          <w:szCs w:val="21"/>
        </w:rPr>
        <w:t>月的全月零售同比在-</w:t>
      </w:r>
      <w:r>
        <w:rPr>
          <w:rFonts w:ascii="Calibri" w:hAnsi="Calibri" w:eastAsia="宋体" w:cs="宋体"/>
          <w:szCs w:val="21"/>
        </w:rPr>
        <w:t>3</w:t>
      </w:r>
      <w:r>
        <w:rPr>
          <w:rFonts w:hint="eastAsia" w:ascii="Calibri" w:hAnsi="Calibri" w:eastAsia="宋体" w:cs="宋体"/>
          <w:szCs w:val="21"/>
        </w:rPr>
        <w:t>%也是部分企业努力的结果，市场的零售总体偏弱，春节前的购买力不强，因此对1月的走势总体不是很乐观。</w:t>
      </w:r>
    </w:p>
    <w:p>
      <w:pPr>
        <w:ind w:firstLine="283" w:firstLineChars="135"/>
        <w:rPr>
          <w:rFonts w:ascii="Calibri" w:hAnsi="Calibri" w:eastAsia="宋体" w:cs="Times New Roman"/>
          <w:szCs w:val="21"/>
        </w:rPr>
      </w:pPr>
    </w:p>
    <w:p>
      <w:pPr>
        <w:numPr>
          <w:ilvl w:val="0"/>
          <w:numId w:val="2"/>
        </w:numPr>
        <w:outlineLvl w:val="1"/>
        <w:rPr>
          <w:rFonts w:ascii="黑体" w:hAnsi="黑体" w:eastAsia="黑体" w:cs="Times New Roman"/>
          <w:b/>
          <w:bCs/>
          <w:sz w:val="24"/>
        </w:rPr>
      </w:pPr>
      <w:r>
        <w:rPr>
          <w:rFonts w:hint="eastAsia" w:ascii="黑体" w:hAnsi="黑体" w:eastAsia="黑体" w:cs="Times New Roman"/>
          <w:b/>
          <w:bCs/>
          <w:sz w:val="24"/>
        </w:rPr>
        <w:t>2</w:t>
      </w:r>
      <w:r>
        <w:rPr>
          <w:rFonts w:ascii="黑体" w:hAnsi="黑体" w:eastAsia="黑体" w:cs="Times New Roman"/>
          <w:b/>
          <w:bCs/>
          <w:sz w:val="24"/>
        </w:rPr>
        <w:t>020</w:t>
      </w:r>
      <w:r>
        <w:rPr>
          <w:rFonts w:hint="eastAsia" w:ascii="黑体" w:hAnsi="黑体" w:eastAsia="黑体" w:cs="Times New Roman"/>
          <w:b/>
          <w:bCs/>
          <w:sz w:val="24"/>
        </w:rPr>
        <w:t>年乘用车市场</w:t>
      </w:r>
      <w:bookmarkStart w:id="1" w:name="_GoBack"/>
      <w:bookmarkEnd w:id="1"/>
      <w:r>
        <w:rPr>
          <w:rFonts w:hint="eastAsia" w:ascii="黑体" w:hAnsi="黑体" w:eastAsia="黑体" w:cs="Times New Roman"/>
          <w:b/>
          <w:bCs/>
          <w:sz w:val="24"/>
          <w:lang w:eastAsia="zh-CN"/>
        </w:rPr>
        <w:t>批发</w:t>
      </w:r>
      <w:r>
        <w:rPr>
          <w:rFonts w:hint="eastAsia" w:ascii="黑体" w:hAnsi="黑体" w:eastAsia="黑体" w:cs="Times New Roman"/>
          <w:b/>
          <w:bCs/>
          <w:sz w:val="24"/>
        </w:rPr>
        <w:t>开局不强</w:t>
      </w:r>
    </w:p>
    <w:p>
      <w:pPr>
        <w:rPr>
          <w:rFonts w:ascii="Calibri" w:hAnsi="Calibri" w:eastAsia="宋体" w:cs="宋体"/>
          <w:szCs w:val="21"/>
        </w:rPr>
      </w:pPr>
      <w:r>
        <w:rPr>
          <w:rFonts w:ascii="Calibri" w:hAnsi="Calibri" w:eastAsia="宋体" w:cs="宋体"/>
          <w:szCs w:val="21"/>
        </w:rPr>
        <w:drawing>
          <wp:inline distT="0" distB="0" distL="0" distR="0">
            <wp:extent cx="4352925" cy="29019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352925" cy="2901950"/>
                    </a:xfrm>
                    <a:prstGeom prst="rect">
                      <a:avLst/>
                    </a:prstGeom>
                    <a:noFill/>
                  </pic:spPr>
                </pic:pic>
              </a:graphicData>
            </a:graphic>
          </wp:inline>
        </w:drawing>
      </w:r>
    </w:p>
    <w:p>
      <w:pPr>
        <w:ind w:firstLine="567" w:firstLineChars="270"/>
        <w:rPr>
          <w:rFonts w:ascii="Calibri" w:hAnsi="Calibri" w:eastAsia="宋体" w:cs="宋体"/>
          <w:szCs w:val="21"/>
        </w:rPr>
      </w:pPr>
      <w:r>
        <w:rPr>
          <w:rFonts w:ascii="Calibri" w:hAnsi="Calibri"/>
          <w:szCs w:val="21"/>
        </w:rPr>
        <w:t>1月全国乘用车市场周度</w:t>
      </w:r>
      <w:r>
        <w:rPr>
          <w:rFonts w:hint="eastAsia" w:ascii="Calibri" w:hAnsi="Calibri"/>
          <w:szCs w:val="21"/>
        </w:rPr>
        <w:t>厂家销量起步较好。</w:t>
      </w:r>
      <w:r>
        <w:rPr>
          <w:rFonts w:ascii="Calibri" w:hAnsi="Calibri"/>
          <w:szCs w:val="21"/>
        </w:rPr>
        <w:t>1</w:t>
      </w:r>
      <w:r>
        <w:rPr>
          <w:rFonts w:hint="eastAsia" w:ascii="Calibri" w:hAnsi="Calibri"/>
          <w:szCs w:val="21"/>
        </w:rPr>
        <w:t>月第一周（1</w:t>
      </w:r>
      <w:r>
        <w:rPr>
          <w:rFonts w:ascii="Calibri" w:hAnsi="Calibri"/>
          <w:szCs w:val="21"/>
        </w:rPr>
        <w:t>-12</w:t>
      </w:r>
      <w:r>
        <w:rPr>
          <w:rFonts w:hint="eastAsia" w:ascii="Calibri" w:hAnsi="Calibri"/>
          <w:szCs w:val="21"/>
        </w:rPr>
        <w:t>日）的乘用车厂家努力月初加大批发，实现节前到店的零售不丢量，第一周日均厂家销量</w:t>
      </w:r>
      <w:r>
        <w:rPr>
          <w:rFonts w:ascii="Calibri" w:hAnsi="Calibri"/>
          <w:szCs w:val="21"/>
        </w:rPr>
        <w:t>5.</w:t>
      </w:r>
      <w:r>
        <w:rPr>
          <w:rFonts w:hint="eastAsia" w:ascii="Calibri" w:hAnsi="Calibri"/>
          <w:szCs w:val="21"/>
        </w:rPr>
        <w:t>1万台，同比增速下降</w:t>
      </w:r>
      <w:r>
        <w:rPr>
          <w:rFonts w:ascii="Calibri" w:hAnsi="Calibri"/>
          <w:szCs w:val="21"/>
        </w:rPr>
        <w:t>3</w:t>
      </w:r>
      <w:r>
        <w:rPr>
          <w:rFonts w:hint="eastAsia" w:ascii="Calibri" w:hAnsi="Calibri"/>
          <w:szCs w:val="21"/>
        </w:rPr>
        <w:t>%。第一周销量总体相对平稳</w:t>
      </w:r>
      <w:r>
        <w:rPr>
          <w:rFonts w:hint="eastAsia" w:ascii="Calibri" w:hAnsi="Calibri" w:eastAsia="宋体" w:cs="宋体"/>
          <w:szCs w:val="21"/>
        </w:rPr>
        <w:t>。</w:t>
      </w:r>
    </w:p>
    <w:p>
      <w:pPr>
        <w:ind w:firstLine="567" w:firstLineChars="270"/>
        <w:rPr>
          <w:rFonts w:ascii="Calibri" w:hAnsi="Calibri" w:eastAsia="宋体" w:cs="宋体"/>
          <w:szCs w:val="21"/>
        </w:rPr>
      </w:pPr>
      <w:r>
        <w:rPr>
          <w:rFonts w:hint="eastAsia" w:ascii="Calibri" w:hAnsi="Calibri" w:eastAsia="宋体" w:cs="宋体"/>
          <w:szCs w:val="21"/>
        </w:rPr>
        <w:t>但由于春节前时间太短，因此1月本周是销量主力，下周末已经开始进入节前购车的尾声，批发销量后面仍有较大压力。</w:t>
      </w:r>
    </w:p>
    <w:p>
      <w:pPr>
        <w:ind w:firstLine="567" w:firstLineChars="270"/>
        <w:rPr>
          <w:rFonts w:ascii="Calibri" w:hAnsi="Calibri" w:eastAsia="宋体" w:cs="Times New Roman"/>
          <w:szCs w:val="21"/>
        </w:rPr>
      </w:pPr>
    </w:p>
    <w:p>
      <w:pPr>
        <w:numPr>
          <w:ilvl w:val="0"/>
          <w:numId w:val="2"/>
        </w:numPr>
        <w:outlineLvl w:val="1"/>
        <w:rPr>
          <w:rFonts w:ascii="黑体" w:hAnsi="黑体" w:eastAsia="黑体" w:cs="黑体"/>
          <w:bCs/>
          <w:sz w:val="24"/>
        </w:rPr>
      </w:pPr>
      <w:r>
        <w:rPr>
          <w:rFonts w:hint="eastAsia" w:ascii="黑体" w:hAnsi="黑体" w:eastAsia="黑体" w:cs="黑体"/>
          <w:bCs/>
          <w:sz w:val="24"/>
        </w:rPr>
        <w:t>美国皮卡市场的强增长对中国有启示</w:t>
      </w:r>
    </w:p>
    <w:p>
      <w:pPr>
        <w:ind w:firstLine="567" w:firstLineChars="270"/>
        <w:rPr>
          <w:rFonts w:hint="default" w:ascii="Calibri" w:hAnsi="Calibri"/>
          <w:szCs w:val="21"/>
          <w:lang w:val="en-US"/>
        </w:rPr>
      </w:pPr>
      <w:r>
        <w:rPr>
          <w:rFonts w:hint="default" w:ascii="Calibri" w:hAnsi="Calibri"/>
          <w:szCs w:val="21"/>
          <w:lang w:val="en-US" w:eastAsia="zh-CN"/>
        </w:rPr>
        <w:t>2019</w:t>
      </w:r>
      <w:r>
        <w:rPr>
          <w:rFonts w:hint="eastAsia" w:ascii="Calibri" w:hAnsi="Calibri"/>
          <w:szCs w:val="21"/>
          <w:lang w:val="en-US" w:eastAsia="zh-CN"/>
        </w:rPr>
        <w:t>年美国汽车总销量</w:t>
      </w:r>
      <w:r>
        <w:rPr>
          <w:rFonts w:hint="default" w:ascii="Calibri" w:hAnsi="Calibri"/>
          <w:szCs w:val="21"/>
          <w:lang w:val="en-US" w:eastAsia="zh-CN"/>
        </w:rPr>
        <w:t>1710</w:t>
      </w:r>
      <w:r>
        <w:rPr>
          <w:rFonts w:hint="eastAsia" w:ascii="Calibri" w:hAnsi="Calibri"/>
          <w:szCs w:val="21"/>
          <w:lang w:val="en-US" w:eastAsia="zh-CN"/>
        </w:rPr>
        <w:t>万辆，同比下跌</w:t>
      </w:r>
      <w:r>
        <w:rPr>
          <w:rFonts w:hint="default" w:ascii="Calibri" w:hAnsi="Calibri"/>
          <w:szCs w:val="21"/>
          <w:lang w:val="en-US" w:eastAsia="zh-CN"/>
        </w:rPr>
        <w:t>1.6%</w:t>
      </w:r>
      <w:r>
        <w:rPr>
          <w:rFonts w:hint="eastAsia" w:ascii="Calibri" w:hAnsi="Calibri"/>
          <w:szCs w:val="21"/>
          <w:lang w:val="en-US" w:eastAsia="zh-CN"/>
        </w:rPr>
        <w:t>。在美国车市整体下行的状态下，皮卡市场仍然是美国汽车市场的一枝独秀，今年美国皮卡市场总销量达</w:t>
      </w:r>
      <w:r>
        <w:rPr>
          <w:rFonts w:hint="default" w:ascii="Calibri" w:hAnsi="Calibri"/>
          <w:szCs w:val="21"/>
          <w:lang w:val="en-US" w:eastAsia="zh-CN"/>
        </w:rPr>
        <w:t>3,113,943</w:t>
      </w:r>
      <w:r>
        <w:rPr>
          <w:rFonts w:hint="eastAsia" w:ascii="Calibri" w:hAnsi="Calibri"/>
          <w:szCs w:val="21"/>
          <w:lang w:val="en-US" w:eastAsia="zh-CN"/>
        </w:rPr>
        <w:t>辆，同比增长</w:t>
      </w:r>
      <w:r>
        <w:rPr>
          <w:rFonts w:hint="default" w:ascii="Calibri" w:hAnsi="Calibri"/>
          <w:szCs w:val="21"/>
          <w:lang w:val="en-US" w:eastAsia="zh-CN"/>
        </w:rPr>
        <w:t>5.4%</w:t>
      </w:r>
      <w:r>
        <w:rPr>
          <w:rFonts w:hint="eastAsia" w:ascii="Calibri" w:hAnsi="Calibri"/>
          <w:szCs w:val="21"/>
          <w:lang w:val="en-US" w:eastAsia="zh-CN"/>
        </w:rPr>
        <w:t>，是近</w:t>
      </w:r>
      <w:r>
        <w:rPr>
          <w:rFonts w:hint="default" w:ascii="Calibri" w:hAnsi="Calibri"/>
          <w:szCs w:val="21"/>
          <w:lang w:val="en-US" w:eastAsia="zh-CN"/>
        </w:rPr>
        <w:t>3</w:t>
      </w:r>
      <w:r>
        <w:rPr>
          <w:rFonts w:hint="eastAsia" w:ascii="Calibri" w:hAnsi="Calibri"/>
          <w:szCs w:val="21"/>
          <w:lang w:val="en-US" w:eastAsia="zh-CN"/>
        </w:rPr>
        <w:t>年的新高。</w:t>
      </w:r>
    </w:p>
    <w:p>
      <w:pPr>
        <w:ind w:firstLine="567" w:firstLineChars="270"/>
        <w:rPr>
          <w:rFonts w:hint="default" w:ascii="Calibri" w:hAnsi="Calibri"/>
          <w:szCs w:val="21"/>
          <w:lang w:val="en-US"/>
        </w:rPr>
      </w:pPr>
      <w:r>
        <w:rPr>
          <w:rFonts w:hint="eastAsia" w:ascii="Calibri" w:hAnsi="Calibri"/>
          <w:szCs w:val="21"/>
          <w:lang w:val="en-US" w:eastAsia="zh-CN"/>
        </w:rPr>
        <w:t>美国皮卡油耗大，促进家庭生活，消费拉动大。中国目前也面临消费不足的问题，目前的世界石油供给充足，多用油促进消费和税收是有利于现阶段的国家建设的。而随着中国城镇化的发展，房价的暴涨，郊区生活皮卡的便利化趋势逐步显现。随着中国老年化压力，人工成本上升，自给自足的工作生活也需要更多的皮卡类产品。总体看，中国的皮卡市场也是有巨大的发展潜力的。</w:t>
      </w:r>
    </w:p>
    <w:p>
      <w:pPr>
        <w:ind w:firstLine="567" w:firstLineChars="270"/>
        <w:rPr>
          <w:rFonts w:ascii="Calibri" w:hAnsi="Calibri"/>
          <w:szCs w:val="21"/>
        </w:rPr>
      </w:pPr>
    </w:p>
    <w:p>
      <w:pPr>
        <w:numPr>
          <w:ilvl w:val="0"/>
          <w:numId w:val="2"/>
        </w:numPr>
        <w:outlineLvl w:val="1"/>
        <w:rPr>
          <w:rFonts w:ascii="黑体" w:hAnsi="黑体" w:eastAsia="黑体" w:cs="Times New Roman"/>
          <w:bCs/>
          <w:sz w:val="24"/>
        </w:rPr>
      </w:pPr>
      <w:r>
        <w:rPr>
          <w:rFonts w:hint="eastAsia" w:ascii="黑体" w:hAnsi="黑体" w:eastAsia="黑体" w:cs="Times New Roman"/>
          <w:bCs/>
          <w:sz w:val="24"/>
        </w:rPr>
        <w:t>从居民收支看看车市的调整期</w:t>
      </w:r>
    </w:p>
    <w:p>
      <w:pPr>
        <w:ind w:firstLine="567" w:firstLineChars="270"/>
        <w:rPr>
          <w:rFonts w:ascii="Calibri" w:hAnsi="Calibri"/>
          <w:szCs w:val="21"/>
        </w:rPr>
      </w:pPr>
      <w:r>
        <w:rPr>
          <w:rFonts w:ascii="Calibri" w:hAnsi="Calibri"/>
          <w:szCs w:val="21"/>
        </w:rPr>
        <w:t>2019年车市呈现入门级消费低迷的现象，目前看8万元以下车市消费低迷与居民家庭的收入支出结构密切相关的。</w:t>
      </w:r>
    </w:p>
    <w:p>
      <w:pPr>
        <w:ind w:firstLine="567" w:firstLineChars="270"/>
        <w:rPr>
          <w:rFonts w:ascii="Calibri" w:hAnsi="Calibri"/>
          <w:szCs w:val="21"/>
        </w:rPr>
      </w:pPr>
      <w:r>
        <w:rPr>
          <w:rFonts w:hint="eastAsia" w:ascii="Calibri" w:hAnsi="Calibri"/>
          <w:szCs w:val="21"/>
        </w:rPr>
        <w:t>目前</w:t>
      </w:r>
      <w:r>
        <w:rPr>
          <w:rFonts w:ascii="Calibri" w:hAnsi="Calibri"/>
          <w:szCs w:val="21"/>
        </w:rPr>
        <w:t>城乡住户</w:t>
      </w:r>
      <w:r>
        <w:rPr>
          <w:rFonts w:hint="eastAsia" w:ascii="Calibri" w:hAnsi="Calibri"/>
          <w:szCs w:val="21"/>
        </w:rPr>
        <w:t>收入增长较快的是财产性收入和经营收入。相对较低的是转移性净收入，和工资收入。城镇居民收入中的工资收入占比在</w:t>
      </w:r>
      <w:r>
        <w:rPr>
          <w:rFonts w:ascii="Calibri" w:hAnsi="Calibri"/>
          <w:szCs w:val="21"/>
        </w:rPr>
        <w:t>60%左右，较2013年下降2个百分点。财产性收入占比达到10.3%，这也是房地产等持续增长的结果。</w:t>
      </w:r>
      <w:r>
        <w:rPr>
          <w:rFonts w:hint="eastAsia" w:ascii="Calibri" w:hAnsi="Calibri"/>
          <w:szCs w:val="21"/>
        </w:rPr>
        <w:t>由此可见，仅靠工资收入人群的收入增长压力相对较大。</w:t>
      </w:r>
    </w:p>
    <w:p>
      <w:pPr>
        <w:ind w:firstLine="567" w:firstLineChars="270"/>
        <w:rPr>
          <w:rFonts w:ascii="Calibri" w:hAnsi="Calibri"/>
          <w:szCs w:val="21"/>
        </w:rPr>
      </w:pPr>
      <w:r>
        <w:rPr>
          <w:rFonts w:hint="eastAsia" w:ascii="Calibri" w:hAnsi="Calibri"/>
          <w:szCs w:val="21"/>
        </w:rPr>
        <w:t>从居民的支出结构来看，支出增长较快的是居住、医疗和教育等方面。这些方面对普通消费者的消费支出影响相对较大，尤其是居住支出，持续上涨，从</w:t>
      </w:r>
      <w:r>
        <w:rPr>
          <w:rFonts w:ascii="Calibri" w:hAnsi="Calibri"/>
          <w:szCs w:val="21"/>
        </w:rPr>
        <w:t>22%左右上升到24%，也就是支出的房租相对增长较快</w:t>
      </w:r>
      <w:r>
        <w:rPr>
          <w:rFonts w:hint="eastAsia" w:ascii="Calibri" w:hAnsi="Calibri"/>
          <w:szCs w:val="21"/>
        </w:rPr>
        <w:t>。而教育文化类的增长也是相对较快的，这也是普通居民家庭面临的无法避免的支出，。医疗方面的支出从过去占比</w:t>
      </w:r>
      <w:r>
        <w:rPr>
          <w:rFonts w:ascii="Calibri" w:hAnsi="Calibri"/>
          <w:szCs w:val="21"/>
        </w:rPr>
        <w:t>6.6~8.3%增长了也是近两个百分点。</w:t>
      </w:r>
    </w:p>
    <w:p>
      <w:pPr>
        <w:ind w:firstLine="567" w:firstLineChars="270"/>
        <w:rPr>
          <w:rFonts w:hint="eastAsia" w:ascii="Calibri" w:hAnsi="Calibri"/>
          <w:szCs w:val="21"/>
        </w:rPr>
      </w:pPr>
      <w:r>
        <w:rPr>
          <w:rFonts w:ascii="Calibri" w:hAnsi="Calibri"/>
          <w:szCs w:val="21"/>
        </w:rPr>
        <w:t>居民消费不足的压力主要是入门级群体的收入来源相对单一，支出的相对刚性</w:t>
      </w:r>
      <w:r>
        <w:rPr>
          <w:rFonts w:hint="eastAsia" w:ascii="Calibri" w:hAnsi="Calibri"/>
          <w:szCs w:val="21"/>
        </w:rPr>
        <w:t>提升</w:t>
      </w:r>
      <w:r>
        <w:rPr>
          <w:rFonts w:ascii="Calibri" w:hAnsi="Calibri"/>
          <w:szCs w:val="21"/>
        </w:rPr>
        <w:t>，抬高了</w:t>
      </w:r>
      <w:r>
        <w:rPr>
          <w:rFonts w:hint="eastAsia" w:ascii="Calibri" w:hAnsi="Calibri"/>
          <w:szCs w:val="21"/>
        </w:rPr>
        <w:t>购车的</w:t>
      </w:r>
      <w:r>
        <w:rPr>
          <w:rFonts w:ascii="Calibri" w:hAnsi="Calibri"/>
          <w:szCs w:val="21"/>
        </w:rPr>
        <w:t>入门门槛。</w:t>
      </w:r>
    </w:p>
    <w:p>
      <w:pPr>
        <w:ind w:firstLine="567" w:firstLineChars="270"/>
        <w:rPr>
          <w:rFonts w:ascii="Calibri" w:hAnsi="Calibri"/>
          <w:szCs w:val="21"/>
        </w:rPr>
      </w:pPr>
    </w:p>
    <w:p>
      <w:pPr>
        <w:numPr>
          <w:ilvl w:val="0"/>
          <w:numId w:val="2"/>
        </w:numPr>
        <w:outlineLvl w:val="1"/>
        <w:rPr>
          <w:rFonts w:ascii="黑体" w:hAnsi="黑体" w:eastAsia="黑体" w:cs="黑体"/>
          <w:bCs/>
          <w:sz w:val="24"/>
        </w:rPr>
      </w:pPr>
      <w:r>
        <w:rPr>
          <w:rFonts w:hint="eastAsia" w:ascii="黑体" w:hAnsi="黑体" w:eastAsia="黑体" w:cs="黑体"/>
          <w:bCs/>
          <w:sz w:val="24"/>
        </w:rPr>
        <w:t>全国新能源乘用车</w:t>
      </w:r>
      <w:r>
        <w:rPr>
          <w:rFonts w:ascii="黑体" w:hAnsi="黑体" w:eastAsia="黑体" w:cs="黑体"/>
          <w:bCs/>
          <w:sz w:val="24"/>
        </w:rPr>
        <w:t>12月销14万降1成</w:t>
      </w:r>
    </w:p>
    <w:p>
      <w:pPr>
        <w:ind w:firstLine="567" w:firstLineChars="270"/>
        <w:rPr>
          <w:rFonts w:ascii="Calibri" w:hAnsi="Calibri"/>
          <w:szCs w:val="21"/>
        </w:rPr>
      </w:pPr>
      <w:r>
        <w:rPr>
          <w:rFonts w:ascii="Calibri" w:hAnsi="Calibri"/>
          <w:szCs w:val="21"/>
        </w:rPr>
        <w:t>12月新能源乘用车批发销量13.7万台，同比下降15%，环比11月增长74%。12月新能源销量环比拉升主要是由于车企抓住年末时机增量。12月纯电动乘用车批发11.9万台，增速同比增长-8%，环比增长76%；其中A级电动车同比增长60%，A00级同比下降70%；近期限购城市新能源需求放缓且低线级市场新车需求相对低迷。12月插混车型批发销量1.5万台，同比下降50%，环比增长30%。</w:t>
      </w:r>
    </w:p>
    <w:p>
      <w:pPr>
        <w:ind w:firstLine="567" w:firstLineChars="270"/>
        <w:rPr>
          <w:rFonts w:ascii="Calibri" w:hAnsi="Calibri"/>
          <w:szCs w:val="21"/>
        </w:rPr>
      </w:pPr>
      <w:r>
        <w:rPr>
          <w:rFonts w:ascii="Calibri" w:hAnsi="Calibri"/>
          <w:szCs w:val="21"/>
        </w:rPr>
        <w:t>19年1-12月新能源乘用车批发106.0万台，同比增速5.1%。目前新能源市场仍处于退坡后的持续调整期，叠加二手新能源车的低价冲击， A00级纯电动份额从49%下降到26%，A级电动车从33%上升到56%。网约车出租等市场规模扩大较快，</w:t>
      </w:r>
      <w:r>
        <w:rPr>
          <w:rFonts w:hint="eastAsia" w:ascii="Calibri" w:hAnsi="Calibri"/>
          <w:szCs w:val="21"/>
        </w:rPr>
        <w:t>私人</w:t>
      </w:r>
      <w:r>
        <w:rPr>
          <w:rFonts w:ascii="Calibri" w:hAnsi="Calibri"/>
          <w:szCs w:val="21"/>
        </w:rPr>
        <w:t>代步消费市场仍有较大压力。</w:t>
      </w:r>
    </w:p>
    <w:p>
      <w:pPr>
        <w:rPr>
          <w:rFonts w:cs="黑体" w:asciiTheme="minorEastAsia" w:hAnsiTheme="minorEastAsia"/>
          <w:bCs/>
          <w:szCs w:val="21"/>
        </w:rPr>
      </w:pPr>
    </w:p>
    <w:p>
      <w:pPr>
        <w:outlineLvl w:val="0"/>
        <w:rPr>
          <w:b/>
        </w:rPr>
      </w:pPr>
      <w:r>
        <w:rPr>
          <w:rFonts w:hint="eastAsia"/>
          <w:b/>
        </w:rPr>
        <w:t>二、</w:t>
      </w:r>
      <w:r>
        <w:rPr>
          <w:rFonts w:hint="eastAsia" w:cs="宋体"/>
          <w:b/>
          <w:bCs/>
        </w:rPr>
        <w:t>本周上市新车</w:t>
      </w:r>
    </w:p>
    <w:p>
      <w:pPr>
        <w:pStyle w:val="17"/>
        <w:numPr>
          <w:ilvl w:val="0"/>
          <w:numId w:val="3"/>
        </w:numPr>
        <w:ind w:firstLineChars="0"/>
        <w:outlineLvl w:val="1"/>
        <w:rPr>
          <w:b/>
        </w:rPr>
      </w:pPr>
      <w:r>
        <w:rPr>
          <w:b/>
        </w:rPr>
        <w:t xml:space="preserve">宝骏510 </w:t>
      </w:r>
    </w:p>
    <w:p>
      <w:r>
        <w:t>1月3日，宝骏510新车型上市，新车售价为6.38万元。</w:t>
      </w:r>
    </w:p>
    <w:p>
      <w:r>
        <w:rPr>
          <w:rFonts w:hint="eastAsia"/>
        </w:rPr>
        <w:t>外观方面，新车与现款基本一致。</w:t>
      </w:r>
    </w:p>
    <w:p>
      <w:r>
        <w:rPr>
          <w:rFonts w:hint="eastAsia"/>
        </w:rPr>
        <w:t>配置方面，新车配备织物座椅、四门电动车窗、电动调节外后视镜、牵引力控制系统等。</w:t>
      </w:r>
    </w:p>
    <w:p>
      <w:r>
        <w:rPr>
          <w:rFonts w:hint="eastAsia"/>
        </w:rPr>
        <w:t>动力方面，新车搭载</w:t>
      </w:r>
      <w:r>
        <w:t>1.5L发动机，匹配CVT变速箱。</w:t>
      </w:r>
    </w:p>
    <w:p>
      <w:pPr>
        <w:rPr>
          <w:rFonts w:cs="宋体"/>
          <w:b/>
          <w:bCs/>
          <w:i/>
          <w:iCs/>
        </w:rPr>
      </w:pPr>
      <w:r>
        <w:rPr>
          <w:rFonts w:hint="eastAsia" w:cs="宋体"/>
          <w:b/>
          <w:bCs/>
          <w:i/>
          <w:iCs/>
        </w:rPr>
        <w:t>分析：。</w:t>
      </w:r>
    </w:p>
    <w:p>
      <w:pPr>
        <w:pStyle w:val="17"/>
        <w:numPr>
          <w:ilvl w:val="0"/>
          <w:numId w:val="3"/>
        </w:numPr>
        <w:ind w:firstLineChars="0"/>
        <w:outlineLvl w:val="1"/>
        <w:rPr>
          <w:b/>
        </w:rPr>
      </w:pPr>
      <w:r>
        <w:rPr>
          <w:b/>
        </w:rPr>
        <w:t xml:space="preserve">博越PRO </w:t>
      </w:r>
    </w:p>
    <w:p>
      <w:r>
        <w:t>1月3日，博越PRO新车型上市，新车售价为12.68万元。</w:t>
      </w:r>
    </w:p>
    <w:p>
      <w:r>
        <w:rPr>
          <w:rFonts w:hint="eastAsia"/>
        </w:rPr>
        <w:t>外观方面，新车与现款基本一致。</w:t>
      </w:r>
    </w:p>
    <w:p>
      <w:r>
        <w:rPr>
          <w:rFonts w:hint="eastAsia"/>
        </w:rPr>
        <w:t>内饰方面，新车采用</w:t>
      </w:r>
      <w:r>
        <w:t>7英寸全液晶仪表，12.3英寸中控屏幕，取消了拱桥形对称设计风格的新样式空调出风口。</w:t>
      </w:r>
    </w:p>
    <w:p>
      <w:r>
        <w:rPr>
          <w:rFonts w:hint="eastAsia"/>
        </w:rPr>
        <w:t>配置方面，新车配备全景天窗、电加热外后视镜、</w:t>
      </w:r>
      <w:r>
        <w:t>TCS牵引力控制系统、胎压监测、倒车影像、驻车雷达等。</w:t>
      </w:r>
    </w:p>
    <w:p>
      <w:r>
        <w:rPr>
          <w:rFonts w:hint="eastAsia"/>
        </w:rPr>
        <w:t>动力方面，新车搭载</w:t>
      </w:r>
      <w:r>
        <w:t>1.8T发动机，匹配7DCT变速箱。</w:t>
      </w:r>
    </w:p>
    <w:p>
      <w:pPr>
        <w:rPr>
          <w:rFonts w:cs="宋体"/>
          <w:b/>
          <w:bCs/>
          <w:i/>
          <w:iCs/>
        </w:rPr>
      </w:pPr>
      <w:r>
        <w:rPr>
          <w:rFonts w:hint="eastAsia" w:cs="宋体"/>
          <w:b/>
          <w:bCs/>
          <w:i/>
          <w:iCs/>
        </w:rPr>
        <w:t>分析：。</w:t>
      </w:r>
    </w:p>
    <w:p>
      <w:pPr>
        <w:pStyle w:val="17"/>
        <w:numPr>
          <w:ilvl w:val="0"/>
          <w:numId w:val="3"/>
        </w:numPr>
        <w:ind w:firstLineChars="0"/>
        <w:outlineLvl w:val="1"/>
        <w:rPr>
          <w:b/>
        </w:rPr>
      </w:pPr>
      <w:r>
        <w:rPr>
          <w:b/>
        </w:rPr>
        <w:t>雪佛兰创酷</w:t>
      </w:r>
    </w:p>
    <w:p>
      <w:r>
        <w:t>1月3日，雪佛兰创酷新车型上市，新车售价为12.59万元。</w:t>
      </w:r>
    </w:p>
    <w:p>
      <w:r>
        <w:rPr>
          <w:rFonts w:hint="eastAsia"/>
        </w:rPr>
        <w:t>外观方面，新车采用雪佛兰最新家族式设计风格，分体式前格栅，两侧狭长大灯组。</w:t>
      </w:r>
    </w:p>
    <w:p>
      <w:r>
        <w:rPr>
          <w:rFonts w:hint="eastAsia"/>
        </w:rPr>
        <w:t>配置方面，新车配备</w:t>
      </w:r>
      <w:r>
        <w:t>8英寸触控屏、MyLink智联系统、安吉星智能车联系统等。</w:t>
      </w:r>
    </w:p>
    <w:p>
      <w:r>
        <w:rPr>
          <w:rFonts w:hint="eastAsia"/>
        </w:rPr>
        <w:t>动力方面，新车搭载</w:t>
      </w:r>
      <w:r>
        <w:t>1.0T发动机，匹配6TIP变速箱。</w:t>
      </w:r>
    </w:p>
    <w:p>
      <w:pPr>
        <w:rPr>
          <w:rFonts w:cs="宋体"/>
          <w:b/>
          <w:bCs/>
          <w:i/>
          <w:iCs/>
        </w:rPr>
      </w:pPr>
      <w:r>
        <w:rPr>
          <w:rFonts w:hint="eastAsia" w:cs="宋体"/>
          <w:b/>
          <w:bCs/>
          <w:i/>
          <w:iCs/>
        </w:rPr>
        <w:t>分析：。</w:t>
      </w:r>
    </w:p>
    <w:p>
      <w:pPr>
        <w:pStyle w:val="17"/>
        <w:numPr>
          <w:ilvl w:val="0"/>
          <w:numId w:val="4"/>
        </w:numPr>
        <w:ind w:firstLineChars="0"/>
        <w:outlineLvl w:val="0"/>
        <w:rPr>
          <w:b/>
        </w:rPr>
      </w:pPr>
      <w:r>
        <w:rPr>
          <w:rFonts w:hint="eastAsia" w:cs="宋体"/>
          <w:b/>
          <w:bCs/>
        </w:rPr>
        <w:t>宏观经济与政策</w:t>
      </w:r>
    </w:p>
    <w:p>
      <w:pPr>
        <w:pStyle w:val="17"/>
        <w:numPr>
          <w:ilvl w:val="0"/>
          <w:numId w:val="5"/>
        </w:numPr>
        <w:ind w:firstLineChars="0"/>
        <w:outlineLvl w:val="1"/>
        <w:rPr>
          <w:b/>
        </w:rPr>
      </w:pPr>
      <w:r>
        <w:rPr>
          <w:rFonts w:hint="eastAsia"/>
          <w:b/>
        </w:rPr>
        <w:t>财政部：</w:t>
      </w:r>
      <w:r>
        <w:rPr>
          <w:b/>
        </w:rPr>
        <w:t>2019年地方债发行43,624亿元</w:t>
      </w:r>
    </w:p>
    <w:p>
      <w:r>
        <w:t>2019年地方债券发行43,624亿元，全年发行任务顺利完成。其中新增债券、再融资债券、置换债券分别发行30,561亿元、11,484亿元、1,579亿元。新增债券中，一般债券、专项债券分别发行9,074亿元、21,487亿元。</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公安部：我国私家车保有量已突破</w:t>
      </w:r>
      <w:r>
        <w:rPr>
          <w:b/>
        </w:rPr>
        <w:t>2亿辆</w:t>
      </w:r>
    </w:p>
    <w:p>
      <w:r>
        <w:t>公安部数据显示，截至2019年底，我国私家车保有量突破2亿辆，全国已有66个城市汽车保有量超过百万辆。</w:t>
      </w:r>
    </w:p>
    <w:p>
      <w:pPr>
        <w:rPr>
          <w:rFonts w:cs="宋体"/>
          <w:b/>
          <w:bCs/>
          <w:i/>
          <w:iCs/>
        </w:rPr>
      </w:pPr>
      <w:r>
        <w:rPr>
          <w:rFonts w:hint="eastAsia" w:cs="宋体"/>
          <w:b/>
          <w:bCs/>
          <w:i/>
          <w:iCs/>
        </w:rPr>
        <w:t>分析：。</w:t>
      </w:r>
    </w:p>
    <w:p>
      <w:pPr>
        <w:pStyle w:val="17"/>
        <w:numPr>
          <w:ilvl w:val="0"/>
          <w:numId w:val="6"/>
        </w:numPr>
        <w:ind w:firstLineChars="0"/>
        <w:outlineLvl w:val="1"/>
        <w:rPr>
          <w:b/>
        </w:rPr>
      </w:pPr>
      <w:r>
        <w:rPr>
          <w:b/>
        </w:rPr>
        <w:t>财政部又把新能源汽车列入年度工作会议</w:t>
      </w:r>
    </w:p>
    <w:p>
      <w:r>
        <w:rPr>
          <w:rFonts w:hint="eastAsia"/>
        </w:rPr>
        <w:t>近日，在</w:t>
      </w:r>
      <w:r>
        <w:t>2019年全国财政工作会议上，财政部提出，推动产业转型升级，支持新能源汽车发展，研究建立与支持创新相适应的政府采购交易制度、成本管理和风险分担机制。这是时隔5年后”支持新能源汽车发展“再次被列入年度工作会议。</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关于同时开展《免征车辆购置税的新能源汽车车型目录》和《享受车船税减免优惠的节约能源使用新能源汽车车型目录》申报工作的通知</w:t>
      </w:r>
    </w:p>
    <w:p>
      <w:r>
        <w:rPr>
          <w:rFonts w:hint="eastAsia"/>
        </w:rPr>
        <w:t>通知称，按照《关于免征新能源汽车车辆购置税的公告》及《关于节能新能源车船享受车船税优惠政策的通知》的要求，工业和信息化部装备工业发展中心承担《免征车辆购置税的新能源汽车车型目录》、《享受车船税减免优惠的节约能源使用新能源汽车车型目录》的组织申报、宣贯培训及具体技术审查、监督检查工作。现将《免征车辆购置税的新能源汽车车型目录》</w:t>
      </w:r>
      <w:r>
        <w:t>(第三十批)和《享受车船税减免优惠的节约能源使用新能源汽车车型目录》（第十四批）申报工作的有关安排通知如下：</w:t>
      </w:r>
    </w:p>
    <w:p>
      <w:r>
        <w:rPr>
          <w:rFonts w:hint="eastAsia"/>
        </w:rPr>
        <w:t>一、企业材料申报</w:t>
      </w:r>
    </w:p>
    <w:p>
      <w:r>
        <w:rPr>
          <w:rFonts w:hint="eastAsia"/>
        </w:rPr>
        <w:t>企业通过“节能与新能源汽车财税优惠目录申报管理系统”进行申报（首次登录需注册）。</w:t>
      </w:r>
    </w:p>
    <w:p>
      <w:r>
        <w:rPr>
          <w:rFonts w:hint="eastAsia"/>
        </w:rPr>
        <w:t>二、车型申报</w:t>
      </w:r>
    </w:p>
    <w:p>
      <w:r>
        <w:t>1、企业登录“节能与新能源汽车财税优惠目录申报管理系统”进行车型申报。</w:t>
      </w:r>
    </w:p>
    <w:p>
      <w:r>
        <w:t>2、同时申报《免征车辆购置税的新能源汽车车型目录》、《享受车船税减免优惠的节约能源使用新能源汽车车型目录》的新能源汽车产品，可按系统使用说明，选择“同时申报”功能，实现“一次填写，多项申报”的目的，减轻企业重复填写、重复申报的负担。</w:t>
      </w:r>
    </w:p>
    <w:p>
      <w:r>
        <w:t>3、请于2020年1月16日前完成车型申报工作。</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广州海关支持二手车出口业务迈上新台阶</w:t>
      </w:r>
    </w:p>
    <w:p>
      <w:r>
        <w:t>155台二手车在广州港南沙汽车码头通过滚装船方式出口非洲吉布提，这是自去年7月广州南沙口岸实现全国首票二手车出口以来，首次实现单批次百台以上二手车滚装出口，标志着广州南沙口岸二手车出口业务迈上新台阶。</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唐山城区皮卡解禁</w:t>
      </w:r>
    </w:p>
    <w:p>
      <w:r>
        <w:t>2020年已然启程。新一年第一天，唐山主城区正式取消了皮卡车的进城限制，至此，河北省成为了我国31个省中第二全面放开皮卡通行的省份。</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国六车（机）型环保信息公开汇总</w:t>
      </w:r>
      <w:r>
        <w:rPr>
          <w:b/>
        </w:rPr>
        <w:t>（2020年01月10日）</w:t>
      </w:r>
    </w:p>
    <w:p>
      <w:r>
        <w:rPr>
          <w:rFonts w:hint="eastAsia"/>
        </w:rPr>
        <w:t>轻型车：共有</w:t>
      </w:r>
      <w:r>
        <w:t>200家企业4812个车型（12699个信息公开编号）15947107辆车进行了轻型车国六环保信息公开，与上周汇总环比增加65个车型、448192辆车。其中，国内生产企业179家、4282个车型、15085692辆，国外生产企业21家、530个车型、861415辆；轻型汽油车企业197家、4335个车型、15425808辆，轻型混合动力车企业38家、190个车型、457969辆，轻型柴油车企业10家、183个车型、54277辆，轻型燃气车企业7家、103个车型、9053辆。</w:t>
      </w:r>
    </w:p>
    <w:p>
      <w:r>
        <w:rPr>
          <w:rFonts w:hint="eastAsia"/>
        </w:rPr>
        <w:t>重型车：共有</w:t>
      </w:r>
      <w:r>
        <w:t>323家整车生产企业的7253个车型80828辆车进行了重型车国六环保信息公开，与上周汇总环比增加244个车型、5723辆车。29家发动机生产企业的482款发动机型按重六标准完成型式检验（重型柴油机402款，重型燃气机80款），其中64款机型自愿进行了环保信息公开。　</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昆明在全国率先出台充换电站配套设施地方标准</w:t>
      </w:r>
    </w:p>
    <w:p>
      <w:r>
        <w:t>2019年12月31日，在昆明市发展和改革委员会、市能源局的统筹推动下，昆明市城市管理局、昆明市发展改革委、昆明市工业和信息化局、昆明市公安局交警支队联合发布了《昆明市充换电站标示标牌、雨棚、卫生间等配套设施规范化建设指导意见》。</w:t>
      </w:r>
    </w:p>
    <w:p>
      <w:r>
        <w:rPr>
          <w:rFonts w:hint="eastAsia"/>
        </w:rPr>
        <w:t>此次发布的《指导意见》，将使全市充换电站配建设有标准可参考，政府部门执法有标准可依。至此，昆明也成为全国首家率先出台充换电站标示标牌、雨棚、卫生间等配套设施规范化建设地方性标准的城市。</w:t>
      </w:r>
    </w:p>
    <w:p>
      <w:pPr>
        <w:rPr>
          <w:rFonts w:cs="宋体"/>
          <w:b/>
          <w:bCs/>
          <w:i/>
          <w:iCs/>
        </w:rPr>
      </w:pPr>
      <w:r>
        <w:rPr>
          <w:rFonts w:hint="eastAsia" w:cs="宋体"/>
          <w:b/>
          <w:bCs/>
          <w:i/>
          <w:iCs/>
        </w:rPr>
        <w:t>分析：。</w:t>
      </w:r>
    </w:p>
    <w:p>
      <w:pPr>
        <w:pStyle w:val="17"/>
        <w:numPr>
          <w:ilvl w:val="0"/>
          <w:numId w:val="5"/>
        </w:numPr>
        <w:ind w:firstLineChars="0"/>
        <w:outlineLvl w:val="1"/>
        <w:rPr>
          <w:b/>
        </w:rPr>
      </w:pPr>
      <w:r>
        <w:rPr>
          <w:rFonts w:hint="eastAsia"/>
          <w:b/>
        </w:rPr>
        <w:t>财政部：提前下达</w:t>
      </w:r>
      <w:r>
        <w:rPr>
          <w:b/>
        </w:rPr>
        <w:t>2020年普惠金融发展专项资金26.2亿元</w:t>
      </w:r>
    </w:p>
    <w:p>
      <w:r>
        <w:t>财政部近日发布了《关于调整2020年普惠金融发展专项资金提前下达预算指标的通知》，其中提到调整2020年普惠金融发展专项资金提前下达预算指标，2020年提前下达金额合计26.2亿元。</w:t>
      </w:r>
    </w:p>
    <w:p>
      <w:pPr>
        <w:rPr>
          <w:rFonts w:cs="宋体"/>
          <w:b/>
          <w:bCs/>
          <w:i/>
          <w:iCs/>
        </w:rPr>
      </w:pPr>
      <w:r>
        <w:rPr>
          <w:rFonts w:hint="eastAsia" w:cs="宋体"/>
          <w:b/>
          <w:bCs/>
          <w:i/>
          <w:iCs/>
        </w:rPr>
        <w:t>分析：。</w:t>
      </w:r>
    </w:p>
    <w:p>
      <w:pPr>
        <w:pStyle w:val="17"/>
        <w:numPr>
          <w:ilvl w:val="0"/>
          <w:numId w:val="5"/>
        </w:numPr>
        <w:ind w:firstLineChars="0"/>
        <w:outlineLvl w:val="1"/>
        <w:rPr>
          <w:b/>
        </w:rPr>
      </w:pPr>
      <w:r>
        <w:rPr>
          <w:rFonts w:hint="eastAsia"/>
          <w:b/>
        </w:rPr>
        <w:t>人民币兑美元中间价调升</w:t>
      </w:r>
      <w:r>
        <w:rPr>
          <w:b/>
        </w:rPr>
        <w:t>28个基点</w:t>
      </w:r>
    </w:p>
    <w:p>
      <w:r>
        <w:t>1月7日，人民币兑美元中间价调升28个基点，报6.9690。同时，央行公告称，目前银行体系流动性总量处于较高水平，2020年1月7日不开展逆回购操作。今日无逆回购到期。</w:t>
      </w:r>
    </w:p>
    <w:p>
      <w:pPr>
        <w:rPr>
          <w:rFonts w:cs="宋体"/>
          <w:b/>
          <w:bCs/>
          <w:i/>
          <w:iCs/>
        </w:rPr>
      </w:pPr>
      <w:r>
        <w:rPr>
          <w:rFonts w:hint="eastAsia" w:cs="宋体"/>
          <w:b/>
          <w:bCs/>
          <w:i/>
          <w:iCs/>
        </w:rPr>
        <w:t>分析：。</w:t>
      </w:r>
    </w:p>
    <w:p>
      <w:pPr>
        <w:pStyle w:val="17"/>
        <w:numPr>
          <w:ilvl w:val="0"/>
          <w:numId w:val="7"/>
        </w:numPr>
        <w:ind w:firstLineChars="0"/>
        <w:outlineLvl w:val="0"/>
        <w:rPr>
          <w:b/>
        </w:rPr>
      </w:pPr>
      <w:r>
        <w:rPr>
          <w:rFonts w:hint="eastAsia" w:cs="宋体"/>
          <w:b/>
          <w:bCs/>
        </w:rPr>
        <w:t>新品信息跟踪</w:t>
      </w:r>
    </w:p>
    <w:p>
      <w:pPr>
        <w:pStyle w:val="17"/>
        <w:numPr>
          <w:ilvl w:val="3"/>
          <w:numId w:val="8"/>
        </w:numPr>
        <w:ind w:left="426" w:firstLineChars="0"/>
        <w:outlineLvl w:val="1"/>
        <w:rPr>
          <w:b/>
        </w:rPr>
      </w:pPr>
      <w:r>
        <w:rPr>
          <w:rFonts w:hint="eastAsia"/>
          <w:b/>
        </w:rPr>
        <w:t>国产特斯拉</w:t>
      </w:r>
      <w:r>
        <w:rPr>
          <w:b/>
        </w:rPr>
        <w:t>Model3正式交付</w:t>
      </w:r>
    </w:p>
    <w:tbl>
      <w:tblPr>
        <w:tblStyle w:val="8"/>
        <w:tblW w:w="8306" w:type="dxa"/>
        <w:tblCellSpacing w:w="0" w:type="dxa"/>
        <w:tblInd w:w="0" w:type="dxa"/>
        <w:tblLayout w:type="fixed"/>
        <w:tblCellMar>
          <w:top w:w="0" w:type="dxa"/>
          <w:left w:w="0" w:type="dxa"/>
          <w:bottom w:w="0" w:type="dxa"/>
          <w:right w:w="0" w:type="dxa"/>
        </w:tblCellMar>
      </w:tblPr>
      <w:tblGrid>
        <w:gridCol w:w="7494"/>
        <w:gridCol w:w="812"/>
      </w:tblGrid>
      <w:tr>
        <w:tblPrEx>
          <w:tblCellMar>
            <w:top w:w="0" w:type="dxa"/>
            <w:left w:w="0" w:type="dxa"/>
            <w:bottom w:w="0" w:type="dxa"/>
            <w:right w:w="0" w:type="dxa"/>
          </w:tblCellMar>
        </w:tblPrEx>
        <w:trPr>
          <w:trHeight w:val="2835" w:hRule="atLeast"/>
          <w:tblCellSpacing w:w="0" w:type="dxa"/>
        </w:trPr>
        <w:tc>
          <w:tcPr>
            <w:tcW w:w="7494" w:type="dxa"/>
            <w:vAlign w:val="center"/>
          </w:tcPr>
          <w:p>
            <w:r>
              <w:rPr>
                <w:color w:val="000000"/>
              </w:rPr>
              <w:drawing>
                <wp:inline distT="0" distB="0" distL="0" distR="0">
                  <wp:extent cx="2286000" cy="1428750"/>
                  <wp:effectExtent l="0" t="0" r="0" b="0"/>
                  <wp:docPr id="1" name="图片 1" descr="http://dss.way-s.cn/news/net_images/sina/eaa89eac8b59d5362d796d07f3b1466d3309100a/2cf93863e8b0f5c82c8275a8862792aa6d2b0b63.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dss.way-s.cn/news/net_images/sina/eaa89eac8b59d5362d796d07f3b1466d3309100a/2cf93863e8b0f5c82c8275a8862792aa6d2b0b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0" cy="1428750"/>
                          </a:xfrm>
                          <a:prstGeom prst="rect">
                            <a:avLst/>
                          </a:prstGeom>
                          <a:noFill/>
                          <a:ln>
                            <a:noFill/>
                          </a:ln>
                        </pic:spPr>
                      </pic:pic>
                    </a:graphicData>
                  </a:graphic>
                </wp:inline>
              </w:drawing>
            </w:r>
          </w:p>
        </w:tc>
        <w:tc>
          <w:tcPr>
            <w:tcW w:w="812" w:type="dxa"/>
            <w:vAlign w:val="center"/>
          </w:tcPr>
          <w:p/>
        </w:tc>
      </w:tr>
    </w:tbl>
    <w:p>
      <w:r>
        <w:rPr>
          <w:rFonts w:hint="eastAsia"/>
        </w:rPr>
        <w:t>国产特斯拉</w:t>
      </w:r>
      <w:r>
        <w:t>Model3车型在上海特斯拉超级工厂正式交付，特斯拉创始人埃隆·马斯克出席交付仪式，并宣布中国制造特斯拉ModelY项目正式启动。此前，特斯拉曾在上海超级工厂交付15辆国产特斯拉Model3，当时只是针对特斯拉内部员工，而非国内正式预定的消费者。如今正式交付，也标志着特斯拉Model3正式以国产车身份进军中国市场。</w:t>
      </w:r>
    </w:p>
    <w:p>
      <w:pPr>
        <w:rPr>
          <w:rFonts w:cs="宋体"/>
          <w:b/>
          <w:bCs/>
          <w:i/>
          <w:iCs/>
        </w:rPr>
      </w:pPr>
      <w:r>
        <w:rPr>
          <w:rFonts w:hint="eastAsia" w:cs="宋体"/>
          <w:b/>
          <w:bCs/>
          <w:i/>
          <w:iCs/>
        </w:rPr>
        <w:t>分析：。</w:t>
      </w:r>
    </w:p>
    <w:p>
      <w:pPr>
        <w:pStyle w:val="17"/>
        <w:numPr>
          <w:ilvl w:val="0"/>
          <w:numId w:val="9"/>
        </w:numPr>
        <w:ind w:firstLineChars="0"/>
        <w:outlineLvl w:val="0"/>
      </w:pPr>
      <w:r>
        <w:rPr>
          <w:rFonts w:hint="eastAsia" w:cs="宋体"/>
          <w:b/>
          <w:bCs/>
          <w:sz w:val="22"/>
        </w:rPr>
        <w:t>企业信息跟踪</w:t>
      </w:r>
    </w:p>
    <w:p>
      <w:pPr>
        <w:pStyle w:val="17"/>
        <w:numPr>
          <w:ilvl w:val="0"/>
          <w:numId w:val="10"/>
        </w:numPr>
        <w:ind w:firstLineChars="0"/>
        <w:outlineLvl w:val="1"/>
        <w:rPr>
          <w:b/>
        </w:rPr>
      </w:pPr>
      <w:r>
        <w:rPr>
          <w:b/>
        </w:rPr>
        <w:t>BEIJING品牌将推5款新SUV，搭2.0T引擎配轻混</w:t>
      </w:r>
    </w:p>
    <w:p>
      <w:r>
        <w:t>从北汽集团官方获悉，BEIJING品牌将在2020-2022年期间推出5款新SUV，汽油版车型将采用1.5T7DCT、2.0T8AT的动力组合，并且5/7系列还将搭载48v轻混系统。</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阿里</w:t>
      </w:r>
      <w:r>
        <w:rPr>
          <w:b/>
        </w:rPr>
        <w:t>1500万元参投昕动出行</w:t>
      </w:r>
      <w:r>
        <w:rPr>
          <w:rFonts w:hint="eastAsia"/>
          <w:b/>
        </w:rPr>
        <w:t>在出行领域继续下注</w:t>
      </w:r>
    </w:p>
    <w:p>
      <w:r>
        <w:t>12月17日，杭州阿里巴巴创业投资管理有限公司新增对外投资，被投资方为广东昕动出行科技有限公司，投资金额1500万元。</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拜腾开发者计划”正式启动</w:t>
      </w:r>
      <w:r>
        <w:rPr>
          <w:rFonts w:hint="eastAsia"/>
          <w:b/>
        </w:rPr>
        <w:t>创造智能空间</w:t>
      </w:r>
      <w:r>
        <w:rPr>
          <w:b/>
        </w:rPr>
        <w:t>“</w:t>
      </w:r>
    </w:p>
    <w:p>
      <w:r>
        <w:rPr>
          <w:rFonts w:hint="eastAsia"/>
        </w:rPr>
        <w:t>拜腾首款量产车</w:t>
      </w:r>
      <w:r>
        <w:t>M-Byte于2020年北美CES展中正式亮相。拜腾携手北美互联内容伙伴，开启“拜腾开发者计划”。拜腾将以数字平台、电动平台和市场平台三个维度进行发展，未来新车产品力会迈向更高层次。</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北汽集团投入</w:t>
      </w:r>
      <w:r>
        <w:rPr>
          <w:b/>
        </w:rPr>
        <w:t>200亿发展自主，冲击100万辆目标</w:t>
      </w:r>
    </w:p>
    <w:p>
      <w:r>
        <w:t>北汽集团徐和谊再次重申了北汽集团对于发展“BEIJING”品牌的态度，即加大研发投入、开放合作、基础支撑以及体系创新，未来5年投入超过200亿元，推动北汽自主品牌更好、更快发展。计划"beijing"品牌和北京越野在2025年实现50万辆销量目标，2030年则达到100万辆。</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北汽新能源</w:t>
      </w:r>
      <w:r>
        <w:rPr>
          <w:b/>
        </w:rPr>
        <w:t>2019年销15.1万辆卫冕纯电动销量冠军</w:t>
      </w:r>
    </w:p>
    <w:p>
      <w:r>
        <w:rPr>
          <w:rFonts w:hint="eastAsia"/>
        </w:rPr>
        <w:t>北汽蓝谷旗下子公司北汽新能源</w:t>
      </w:r>
      <w:r>
        <w:t>2019全年累计销售纯电动乘用车150601辆。根据当前已公布数据统计，北汽新能源连续七年位列中国纯电动汽车销量第一，基无悬念。</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本田</w:t>
      </w:r>
      <w:r>
        <w:rPr>
          <w:b/>
        </w:rPr>
        <w:t>中国媒体大会发布2020年事业规划</w:t>
      </w:r>
    </w:p>
    <w:p>
      <w:r>
        <w:t>2020年，Honda中国将进一步强化纯电动、混合动力等电动化产品阵容。此外，Honda还将以“零事故社会”为目标，推进智能安全技术的升级。</w:t>
      </w:r>
    </w:p>
    <w:p>
      <w:r>
        <w:t>2020年，Honda还将强化生产体制，提升产能。广汽Honda将在2020年进一步扩大增城第三工厂产能，由年产12万辆增加到24万辆，进而广汽Honda将形成年产72万辆的总产能。</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滴滴顺风车计划明日起再上线</w:t>
      </w:r>
      <w:r>
        <w:rPr>
          <w:b/>
        </w:rPr>
        <w:t>8个城市</w:t>
      </w:r>
    </w:p>
    <w:p>
      <w:r>
        <w:t>1月6日上午9：00起，顺风车继续在杭州、宁波、上海、金华、中山、南宁、惠州、石家庄8个城市上线试运营，用户在滴滴出行App等官方渠道完成安全任务后，方可使用顺风车服务。试运营期间，滴滴顺风车首先提供5：00-20：00，市内（50公里以内）的顺风车平台服务，不收取信息服务费。</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滴滴与广东通服达成合作</w:t>
      </w:r>
      <w:r>
        <w:rPr>
          <w:rFonts w:hint="eastAsia"/>
          <w:b/>
        </w:rPr>
        <w:t>建设智慧城市</w:t>
      </w:r>
    </w:p>
    <w:p>
      <w:r>
        <w:t>1月6日，滴滴智通（广州）科技有限公司正式成立，注册资本1000万人民币。新公司经营范围包含智能联网汽车相关技术服务与研究、二手车经纪、二手车销售、汽车销售、汽车租赁、汽车零配件零售、充电桩设施安装、管理以及为电动汽车提供电池充电服务等业务。</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东风公司与中汽中心签署战略合作</w:t>
      </w:r>
    </w:p>
    <w:p>
      <w:r>
        <w:t>东风汽车集团有限公司近日与中国汽车技术研究中心有限公司签订战略合作协议。东风方面表示，东风公司与中汽中心展开战略合作，既是贯彻新时代国家对央企加强合作、优势互补、做强做优做大的要求，也是东风公司和中汽中心面向市场、协同发展、互利共赢的需要。</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蜂巢能源与华为合作</w:t>
      </w:r>
      <w:r>
        <w:rPr>
          <w:rFonts w:hint="eastAsia"/>
          <w:b/>
        </w:rPr>
        <w:t>加速数字化转型</w:t>
      </w:r>
    </w:p>
    <w:p>
      <w:r>
        <w:rPr>
          <w:rFonts w:hint="eastAsia"/>
        </w:rPr>
        <w:t>新能源二手车残值难定、电池寿命无法准确评估、梯次利用没有数据支撑……这些问题一直限制着新能源汽车发展。为解决上述问题，</w:t>
      </w:r>
      <w:r>
        <w:t>1月8日上午，长城汽车旗下动力电池企业蜂巢能源科技有限公司与华为技术有限公司宣布双方将建立全面合作伙伴关系，在企业云技术应用的多个领域开展深入合作，攻破上述难题。</w:t>
      </w:r>
    </w:p>
    <w:p>
      <w:r>
        <w:rPr>
          <w:rFonts w:hint="eastAsia"/>
        </w:rPr>
        <w:t>根据规划，未来华为将向蜂巢能源提供信息化、数字化、智能化建设服务，支撑蜂巢能源数字化企业发展。根据蜂巢能源业务和项目的信息化建设诉求和进度，提供业务系统架构设计、系统云化实施、数字化智能化的平台建设及对新技术的诉求。</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佛山飞驰成功研发首款氢燃料电池牵引车</w:t>
      </w:r>
    </w:p>
    <w:p>
      <w:r>
        <w:t>2019年我国牵引车总销量约117万辆，同比往年增长2%。在市场需求和政策共同影响下，2020年的销量仍将保持在较高的水平。但面对日益加剧的资源危机，牵引车行业为减轻压力，逐步将研发方向转移至新能源领域。</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佛山飞驰汽车</w:t>
      </w:r>
      <w:r>
        <w:rPr>
          <w:b/>
        </w:rPr>
        <w:t>43辆氢燃料公交车</w:t>
      </w:r>
    </w:p>
    <w:p>
      <w:r>
        <w:t>山西美锦能源股份有限公司近日发布关于飞驰汽车项目预中标的提示性公告，控股子公司飞驰汽车再中标43辆8.5米氢燃料电池公交车。预中标项目合同顺利签订与实施，能够巩固飞驰汽车在粤港澳大湾区的市场竞争力和市场占有率，产生积极影响。</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广汽集团</w:t>
      </w:r>
      <w:r>
        <w:rPr>
          <w:b/>
        </w:rPr>
        <w:t>2019累计销量达206.22万辆同比下滑3.99%</w:t>
      </w:r>
    </w:p>
    <w:p>
      <w:r>
        <w:t>2019年12月，广汽集团销量18.6万辆，同比微降0.35%；1-12月，广汽集团累计销量达到206.22万辆，同比下滑3.99%。分业务板块来看，2019年全年广汽集团合资板块表现两极分化，其中广汽丰田表现最佳，实现近20%的增长，而广汽菲克则下滑幅度较高。</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红旗拟增产至18.4万辆/年</w:t>
      </w:r>
      <w:r>
        <w:rPr>
          <w:rFonts w:hint="eastAsia"/>
          <w:b/>
        </w:rPr>
        <w:t>投资</w:t>
      </w:r>
      <w:r>
        <w:rPr>
          <w:b/>
        </w:rPr>
        <w:t>4.7亿元</w:t>
      </w:r>
    </w:p>
    <w:p>
      <w:r>
        <w:rPr>
          <w:rFonts w:hint="eastAsia"/>
        </w:rPr>
        <w:t>吉林长春市生态环境局公示信息显示，一汽集团计划投资</w:t>
      </w:r>
      <w:r>
        <w:t>4.7亿元进行生产线改造，将红旗产能提升至18.4万辆/年。</w:t>
      </w:r>
    </w:p>
    <w:p>
      <w:r>
        <w:rPr>
          <w:rFonts w:hint="eastAsia"/>
        </w:rPr>
        <w:t>公示信息显示，改造项目主要利用现有轿车一厂冲压、焊装、总装生产线进行提升改造，在总体</w:t>
      </w:r>
      <w:r>
        <w:t>26万辆产能不变的情况下，通过降低奔腾T33的产能，来实现红旗HS5年产11万辆、红旗H5年产6万辆、红旗E-HS3年产1.4万辆的产能目标。该项目总投资金额为4.7亿元，预计投产日期为2020年4月。</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红旗新战略</w:t>
      </w:r>
      <w:r>
        <w:rPr>
          <w:b/>
        </w:rPr>
        <w:t>5年推21款新车挑战100万销量</w:t>
      </w:r>
    </w:p>
    <w:p>
      <w:r>
        <w:t>1月8日，2020年中国一汽红旗品牌盛典暨h9全球首秀将在人民大会堂隆重举行。徐留平董事长再次走到幕前，为红旗h9站台，同时也回顾了两年来新红旗所取得的阶段性成绩以及接下来的规划与目标。</w:t>
      </w:r>
    </w:p>
    <w:p>
      <w:r>
        <w:rPr>
          <w:rFonts w:hint="eastAsia"/>
        </w:rPr>
        <w:t>他表示：“新红旗未来五年将形成覆盖家族四大全系列的</w:t>
      </w:r>
      <w:r>
        <w:t>21款产品。”另外，他还宣布：新红旗2020年销量目标要翻番，达20万辆，在2030年实现80万-100万辆的销量目标。</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红旗制订</w:t>
      </w:r>
      <w:r>
        <w:rPr>
          <w:b/>
        </w:rPr>
        <w:t>10年销量目标2030年为80-100万辆</w:t>
      </w:r>
    </w:p>
    <w:p>
      <w:r>
        <w:rPr>
          <w:rFonts w:hint="eastAsia"/>
        </w:rPr>
        <w:t>在</w:t>
      </w:r>
      <w:r>
        <w:t>2020年中国一汽红旗品牌盛典暨H9全球首秀上，徐留平公布了一汽红旗品牌未来10年的销量目标，2030年销量目标为80-100万辆。另外，红旗公布了新的产品规划，将在2025年前推出L/S/H/Q等四个系列共计21款新车型，新能源将占18款。</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华晨合纵连横多家资源领域，蓄势发力</w:t>
      </w:r>
      <w:r>
        <w:rPr>
          <w:b/>
        </w:rPr>
        <w:t>2020</w:t>
      </w:r>
    </w:p>
    <w:p>
      <w:r>
        <w:t>12月31日，华晨集团电子采购平台正式开通运营。电子平台通过充分调动各方资源，实现了规模化、电商化的一站式采购，强化采购资源共享，发挥规模效益，实行市场化充分竞争，降低交易成本。</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华菱星马2020年目标3.5万台</w:t>
      </w:r>
    </w:p>
    <w:p>
      <w:r>
        <w:t>2020年1月7日，以“顺应新趋势把握新机遇开创新局面”为主题的华菱星马商务年会在无锡召开。</w:t>
      </w:r>
    </w:p>
    <w:p>
      <w:r>
        <w:rPr>
          <w:rFonts w:hint="eastAsia"/>
        </w:rPr>
        <w:t>基于对</w:t>
      </w:r>
      <w:r>
        <w:t>2019年重卡市场的深入分析，华菱星马汽车提出2020年在国内重卡销售要达到30000-35000辆的目标。在细分市场领域，要实现牵引车10000-12000台；搅拌车12000-15000台；自卸、渣土车6000-8000台；载货车2000台的销量。</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华人运通与复旦大学开展合作</w:t>
      </w:r>
    </w:p>
    <w:p>
      <w:r>
        <w:rPr>
          <w:rFonts w:hint="eastAsia"/>
        </w:rPr>
        <w:t>华人运通宣布将与复旦大学类脑智能科学与技术研究院、大数据研究院开展合作，就人工智能在自动驾驶、智能识别分析领域的底层算法和海量实验数据分析开展联合研究。</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吉利与奔驰成立</w:t>
      </w:r>
      <w:r>
        <w:rPr>
          <w:b/>
        </w:rPr>
        <w:t>smart品牌合资公司</w:t>
      </w:r>
    </w:p>
    <w:p>
      <w:r>
        <w:t>1月8日，吉利控股在官方微信上发布消息称，已与梅赛德斯-奔驰股份公司成立smart品牌全球合资公司“智马达汽车有限公司”，将在全球范围内联合运营和推动smart品牌转型升级。</w:t>
      </w:r>
    </w:p>
    <w:p>
      <w:r>
        <w:rPr>
          <w:rFonts w:hint="eastAsia"/>
        </w:rPr>
        <w:t>据悉，合资公司注册资金</w:t>
      </w:r>
      <w:r>
        <w:t>54亿元，双方将各出资27亿元人民币，各持股50%，梅赛德斯-奔驰股份公司主要以smart品牌出资的形式获取相应股份。合资公司的建立将主要致力于推动smart向电动化和智能化方向转型，新车型预计2022年开始投放于市场，销往全球。</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金旅氢燃料电池客车武汉交付</w:t>
      </w:r>
    </w:p>
    <w:p>
      <w:r>
        <w:t>2020年1月5日，10台金旅氢燃料电池通勤客车交付武汉，武汉地区氢能产业布局迈出坚实一步。</w:t>
      </w:r>
    </w:p>
    <w:p>
      <w:r>
        <w:rPr>
          <w:rFonts w:hint="eastAsia"/>
        </w:rPr>
        <w:t>在应用方面，国内已有多个城市先后开展了氢能公交车的示范运行，积累了较为丰富的数据与宝贵经验。据介绍，当前氢燃料电池汽车的应用，主要以短途城市公交、厂区内部物流车辆等为主。本次交付武汉地区的氢燃料电池客车将应用于城市通勤领域，尚属首例。对于武汉当地用户以及金旅客车来说，这无疑是一次全新的尝试，也是一次发展的里程碑。</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马斯克亲临现场</w:t>
      </w:r>
      <w:r>
        <w:rPr>
          <w:b/>
        </w:rPr>
        <w:t>国产Model3正式交付</w:t>
      </w:r>
    </w:p>
    <w:p>
      <w:r>
        <w:t>1月7日，特斯拉上海超级工厂正式向首批普通消费者交付国产Model3，并在现场举行了庆祝活动。活动上，特斯拉CEO马斯克也莅临现场，为消费者交付新车。据悉，共有10位消费者收到了自己订购的国产Model3，所有车型均为标准续航后驱升级版。</w:t>
      </w:r>
    </w:p>
    <w:p>
      <w:r>
        <w:rPr>
          <w:rFonts w:hint="eastAsia"/>
        </w:rPr>
        <w:t>除国产</w:t>
      </w:r>
      <w:r>
        <w:t>Model3交付仪式外，ModelY项目启动仪式同期举行。马斯克表示，ModelY将是一款大家负担得起的车，并采用了新的生产制造技术。不过，现场马斯克并未提及国产ModelY计划。</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哪吒N01推保价政策1月31日前购车可享补贴</w:t>
      </w:r>
    </w:p>
    <w:p>
      <w:r>
        <w:rPr>
          <w:rFonts w:hint="eastAsia"/>
        </w:rPr>
        <w:t>哪吒汽车在其公众号上发布了保价政策：即日起预定哪吒</w:t>
      </w:r>
      <w:r>
        <w:t>N01，在2020年1月31日前提车完成上牌的消费者，仍可享受2019年新能源车补贴标准下的补贴后价格。此外，在享受该政策的同时，还有低首付0利率购车等金融政策。</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奇瑞最新产品规划</w:t>
      </w:r>
    </w:p>
    <w:p>
      <w:r>
        <w:t>奇瑞将在今年共计推出5款新车型，分别为全新一代瑞虎7/瑞虎7PRO、艾瑞泽5运动版、瑞虎5x年型车、瑞虎8大改款（代号T1D）、瑞虎3x年型车。</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上汽红岩</w:t>
      </w:r>
      <w:r>
        <w:rPr>
          <w:b/>
        </w:rPr>
        <w:t>2020年目标7.2万辆将投放158款新品</w:t>
      </w:r>
    </w:p>
    <w:p>
      <w:r>
        <w:t>以“和-立-诚赢”为主题的上汽依维柯红岩商用车有限公司2020年度营销商务年会在海南博鳌举行。上汽红岩副总经理、营销公司总经理杨培强在做营销工作报告中宣布，上汽红岩在2020年销量目标为7.2万辆。杨培强在分析了2020年市场与行业趋势后指出，2020年面对基建投资稳步增长、国三车型淘汰、港口牵引车置换的市场大环境，以及合法合规车辆需求放量增长、天然气动力车型占比提升、按轴收费政策引导的产品轻量化和大容积化趋势。上汽红岩在2020年销量目标为7.2万辆，市场占有率超过7%，满意度超过85%。实现“自卸引领，牵引跨越，载货拓展”，在专用车市场，将红岩瑞江模式应用到冷藏车和环卫车两个专业市场。海外市场目标翻三番，达到3000辆。同时，上汽红岩将以更多的金融措施，给予经销商和客户更大的支持。</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上汽通用五菱2020规划</w:t>
      </w:r>
      <w:r>
        <w:rPr>
          <w:rFonts w:hint="eastAsia"/>
          <w:b/>
        </w:rPr>
        <w:t>新宝骏再推</w:t>
      </w:r>
      <w:r>
        <w:rPr>
          <w:b/>
        </w:rPr>
        <w:t>6款车</w:t>
      </w:r>
    </w:p>
    <w:p>
      <w:r>
        <w:rPr>
          <w:rFonts w:hint="eastAsia"/>
        </w:rPr>
        <w:t>上汽通用五菱汽车股份有限公司销售公司市场总监周钘在与汽车之家编辑沟通时透露，上汽通用五菱在</w:t>
      </w:r>
      <w:r>
        <w:t>2020年将以四个板块为主，分别为五菱品牌、新宝骏品牌、宝骏品牌以及新能源。其中新宝骏将在现有四款车型的基础上，再推出6款全新车型。</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唐骏汽车2020商务年会召开</w:t>
      </w:r>
      <w:r>
        <w:rPr>
          <w:rFonts w:hint="eastAsia"/>
          <w:b/>
        </w:rPr>
        <w:t>目标</w:t>
      </w:r>
      <w:r>
        <w:rPr>
          <w:b/>
        </w:rPr>
        <w:t>5.6万台</w:t>
      </w:r>
    </w:p>
    <w:p>
      <w:r>
        <w:t>2019年，唐骏赛菱微卡销量同比增长10.3%；小宝马车型同比增长7.6%；唐骏轻卡T3系列同比增长10.8%。全新轿卡产品唐骏V5于10月份陆续投放市场，50余款轻量化新产品全线研发投放，新产品在整体增长的贡献率为27.1%。</w:t>
      </w:r>
    </w:p>
    <w:p>
      <w:r>
        <w:t>2020年，唐骏将要再次扬帆起航，定下目标5.6万台。唐骏汽车集团公司副总经理张家林说，根据2019年轻卡市场预测，2020年预计会有118万辆的整体销量，同比增长2.61%，受治超政策、国三车淘汰、国六排放推进等影响，2020年会有一大批用户购置全新轻微卡，所以2020年的市场前景是整体向好的，故而将唐骏的目标定到5.6万台。</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途虎表现获认可</w:t>
      </w:r>
      <w:r>
        <w:rPr>
          <w:b/>
        </w:rPr>
        <w:t>规范经营促行业健康发展</w:t>
      </w:r>
    </w:p>
    <w:p>
      <w:r>
        <w:t>截至2019年，途虎养车线上注册用户再创新高,其年注册递增用户更是远远领先于整个行业,如此庞大的线上消费群体也对当前的汽车养护市场带来了巨大商机。</w:t>
      </w:r>
    </w:p>
    <w:p>
      <w:r>
        <w:rPr>
          <w:rFonts w:hint="eastAsia"/>
        </w:rPr>
        <w:t>据了解</w:t>
      </w:r>
      <w:r>
        <w:t>,通过多年的发展,如今的途虎养车已在全国四百多个城市全面进行了市场布局,有超过13000多家的门店更是将途虎养车的品牌服务带给更多用户,而在这些工场店中,有超过50%的用户来自线上预约。</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蔚来换电专利曝光</w:t>
      </w:r>
      <w:r>
        <w:rPr>
          <w:rFonts w:hint="eastAsia"/>
          <w:b/>
        </w:rPr>
        <w:t>着手建立换电站</w:t>
      </w:r>
    </w:p>
    <w:p>
      <w:r>
        <w:rPr>
          <w:rFonts w:hint="eastAsia"/>
        </w:rPr>
        <w:t>从世界知识产权组织中获悉，蔚来申请新换电新技术专利。该专利名为</w:t>
      </w:r>
      <w:r>
        <w:t>（依据效能为纯电动汽车换电的策略与方案），该专利预示蔚来或将通过为用户更换不同容量规格的电池，而收取相应的费用。</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蔚来着手建立换电站，创新盈利模式</w:t>
      </w:r>
    </w:p>
    <w:p>
      <w:r>
        <w:t>从世界知识产权组织获悉，蔚来申请新换电新技术专利。该专利预示蔚来或将通过为用户更换不同容量规格的电池，而收取相应的费用。</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小鹏汽车与滴滴旗下小桔车服建立战略框架</w:t>
      </w:r>
    </w:p>
    <w:p>
      <w:r>
        <w:t>小鹏汽车与滴滴旗下小桔车服建立了战略合作框架。双方将协同彼此在产品、市场、品牌、数据等方面的优势，在网约车、社会车辆长租、充电及维护保养等智能汽车产业链的业务开展深入合作，为用户提供更加优质、安全、高效的出行服务。</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一汽轿车发布公告称拟向子公司增资</w:t>
      </w:r>
    </w:p>
    <w:p>
      <w:r>
        <w:t>一汽轿车拟将拥有的除一汽财务、鑫安汽车保险之股权及部分保留资产以外的全部资产和负债转入其全资子公司一汽奔腾，后将该公司100%股权作为置出资产，与一汽解放100%股权中的等值部分进行置换。一汽轿车以发行股份及支付现金的方式向一汽股份购买置入资产与置出资产的差额部分。</w:t>
      </w:r>
    </w:p>
    <w:p>
      <w:pPr>
        <w:rPr>
          <w:rFonts w:cs="宋体"/>
          <w:b/>
          <w:bCs/>
          <w:i/>
          <w:iCs/>
        </w:rPr>
      </w:pPr>
      <w:r>
        <w:rPr>
          <w:rFonts w:hint="eastAsia" w:cs="宋体"/>
          <w:b/>
          <w:bCs/>
          <w:i/>
          <w:iCs/>
        </w:rPr>
        <w:t>分析：。</w:t>
      </w:r>
    </w:p>
    <w:p>
      <w:pPr>
        <w:pStyle w:val="17"/>
        <w:numPr>
          <w:ilvl w:val="0"/>
          <w:numId w:val="10"/>
        </w:numPr>
        <w:ind w:firstLineChars="0"/>
        <w:outlineLvl w:val="1"/>
        <w:rPr>
          <w:b/>
        </w:rPr>
      </w:pPr>
      <w:r>
        <w:rPr>
          <w:b/>
        </w:rPr>
        <w:t>长城汽车2020年迎来开门红金融用户突破100万</w:t>
      </w:r>
    </w:p>
    <w:p>
      <w:r>
        <w:rPr>
          <w:rFonts w:hint="eastAsia"/>
        </w:rPr>
        <w:t>新年伊始，长城汽车金融迎来“开门红”，累计合同单量突破</w:t>
      </w:r>
      <w:r>
        <w:t>100万！面对今年汽车金融产业的寒冬之说，长城汽车金融依托主机厂金融优势，稳步向前发展。早在2019年年初，其本品牌零售业务贷款余额就取得了突破200亿元的好成绩，而今年年初又取得了合同单量突破100万的战绩，为今年运行的良好开局提供了坚实的基础。</w:t>
      </w:r>
    </w:p>
    <w:p>
      <w:pPr>
        <w:rPr>
          <w:rFonts w:cs="宋体"/>
          <w:b/>
          <w:bCs/>
          <w:i/>
          <w:iCs/>
        </w:rPr>
      </w:pPr>
      <w:r>
        <w:rPr>
          <w:rFonts w:hint="eastAsia" w:cs="宋体"/>
          <w:b/>
          <w:bCs/>
          <w:i/>
          <w:iCs/>
        </w:rPr>
        <w:t>分析：。</w:t>
      </w:r>
    </w:p>
    <w:p>
      <w:pPr>
        <w:pStyle w:val="17"/>
        <w:numPr>
          <w:ilvl w:val="0"/>
          <w:numId w:val="10"/>
        </w:numPr>
        <w:ind w:firstLineChars="0"/>
        <w:outlineLvl w:val="1"/>
        <w:rPr>
          <w:b/>
        </w:rPr>
      </w:pPr>
      <w:r>
        <w:rPr>
          <w:rFonts w:hint="eastAsia"/>
          <w:b/>
        </w:rPr>
        <w:t>长城泰州投建年产</w:t>
      </w:r>
      <w:r>
        <w:rPr>
          <w:b/>
        </w:rPr>
        <w:t>10万辆电动车项目</w:t>
      </w:r>
    </w:p>
    <w:p>
      <w:r>
        <w:rPr>
          <w:rFonts w:hint="eastAsia"/>
        </w:rPr>
        <w:t>江苏省生态环境厅官网公示长城汽车泰州分公司年产</w:t>
      </w:r>
      <w:r>
        <w:t>10万辆纯电动轿车项目环境影响报告书，长城汽车拟在泰州高港区临港经济园投建纯电动轿车项目。</w:t>
      </w:r>
    </w:p>
    <w:p>
      <w:pPr>
        <w:rPr>
          <w:rFonts w:cs="宋体"/>
          <w:b/>
          <w:bCs/>
          <w:i/>
          <w:iCs/>
        </w:rPr>
      </w:pPr>
      <w:r>
        <w:rPr>
          <w:rFonts w:hint="eastAsia" w:cs="宋体"/>
          <w:b/>
          <w:bCs/>
          <w:i/>
          <w:iCs/>
        </w:rPr>
        <w:t>分析：。</w:t>
      </w:r>
    </w:p>
    <w:p>
      <w:pPr>
        <w:pStyle w:val="17"/>
        <w:numPr>
          <w:ilvl w:val="0"/>
          <w:numId w:val="9"/>
        </w:numPr>
        <w:ind w:firstLineChars="0"/>
        <w:outlineLvl w:val="0"/>
      </w:pPr>
      <w:r>
        <w:rPr>
          <w:rFonts w:hint="eastAsia" w:cs="宋体"/>
          <w:b/>
          <w:bCs/>
        </w:rPr>
        <w:t>行业信息跟踪</w:t>
      </w:r>
    </w:p>
    <w:p>
      <w:pPr>
        <w:pStyle w:val="17"/>
        <w:numPr>
          <w:ilvl w:val="0"/>
          <w:numId w:val="6"/>
        </w:numPr>
        <w:ind w:firstLineChars="0"/>
        <w:outlineLvl w:val="1"/>
        <w:rPr>
          <w:b/>
        </w:rPr>
      </w:pPr>
      <w:r>
        <w:rPr>
          <w:b/>
        </w:rPr>
        <w:t>2019年狭义乘用车销量2069万辆，全年超预期下滑</w:t>
      </w:r>
    </w:p>
    <w:p>
      <w:r>
        <w:t>2019年12月，狭义乘用车综合销量为214万辆，同比下跌3.4%。2019年全年狭义乘用车累计综合销量为2069.76万辆，同比下跌7.4%，较2018年-3%的增速下降较大，是超预期的下滑。具体来看，2019年12月，轿车综合销量超101万辆，同比下跌6.9%；SUV综合销量为99万辆，同比上涨2.5%；MPV综合销量为13.2万辆，同比下跌15.2%。2019年全年，轿车综合累计销量1014万辆，同比下跌9.1%；SUV综合累计销量为918万辆，同比下跌3.6%；MPV综合累计销量为137万辆，同比下跌18.2%。</w:t>
      </w:r>
    </w:p>
    <w:p>
      <w:pPr>
        <w:rPr>
          <w:rFonts w:cs="宋体"/>
          <w:b/>
          <w:bCs/>
          <w:i/>
          <w:iCs/>
        </w:rPr>
      </w:pPr>
      <w:r>
        <w:rPr>
          <w:rFonts w:hint="eastAsia" w:cs="宋体"/>
          <w:b/>
          <w:bCs/>
          <w:i/>
          <w:iCs/>
        </w:rPr>
        <w:t>分析：。</w:t>
      </w:r>
    </w:p>
    <w:p>
      <w:pPr>
        <w:pStyle w:val="17"/>
        <w:numPr>
          <w:ilvl w:val="0"/>
          <w:numId w:val="6"/>
        </w:numPr>
        <w:ind w:firstLineChars="0"/>
        <w:outlineLvl w:val="1"/>
        <w:rPr>
          <w:b/>
        </w:rPr>
      </w:pPr>
      <w:r>
        <w:rPr>
          <w:b/>
        </w:rPr>
        <w:t>2020年新能源汽车动力电池直面“退役潮”20万吨！</w:t>
      </w:r>
    </w:p>
    <w:p>
      <w:r>
        <w:t>2018年-2020年，我国累计报废动力电池将达12万-20万吨，我国首批新能源车的动力电池将迎来一轮“退役潮”。眼下，我国动力电池回收市场仍旧存在的不少问题，具体有技术难点、经济性问题、电池升级迭代速度较快、回收价格混乱、存储与运输环境存在安全隐患、行业规范度不高等。</w:t>
      </w:r>
    </w:p>
    <w:p>
      <w:pPr>
        <w:rPr>
          <w:rFonts w:cs="宋体"/>
          <w:b/>
          <w:bCs/>
          <w:i/>
          <w:iCs/>
        </w:rPr>
      </w:pPr>
      <w:r>
        <w:rPr>
          <w:rFonts w:hint="eastAsia" w:cs="宋体"/>
          <w:b/>
          <w:bCs/>
          <w:i/>
          <w:iCs/>
        </w:rPr>
        <w:t>分析：。</w:t>
      </w:r>
    </w:p>
    <w:p>
      <w:pPr>
        <w:pStyle w:val="17"/>
        <w:numPr>
          <w:ilvl w:val="0"/>
          <w:numId w:val="11"/>
        </w:numPr>
        <w:ind w:firstLineChars="0"/>
        <w:outlineLvl w:val="1"/>
        <w:rPr>
          <w:b/>
        </w:rPr>
      </w:pPr>
      <w:r>
        <w:rPr>
          <w:b/>
        </w:rPr>
        <w:t>CES2020：腾讯发布TAI3.0生态车联网</w:t>
      </w:r>
    </w:p>
    <w:p>
      <w:r>
        <w:t>在2020年ces上，腾讯车联正式发布tai3.0生态车联网，支持android、linux多系统，支持车企、开发者共建车载轻应用生态，并且开箱即用、灵活配置，可快速上车。此外，腾讯还与哈曼国际建立了合作关系，共同打造一体化智能驾舱。</w:t>
      </w:r>
    </w:p>
    <w:p>
      <w:pPr>
        <w:rPr>
          <w:rFonts w:cs="宋体"/>
          <w:b/>
          <w:bCs/>
          <w:i/>
          <w:iCs/>
        </w:rPr>
      </w:pPr>
      <w:r>
        <w:rPr>
          <w:rFonts w:hint="eastAsia" w:cs="宋体"/>
          <w:b/>
          <w:bCs/>
          <w:i/>
          <w:iCs/>
        </w:rPr>
        <w:t>分析：。</w:t>
      </w:r>
    </w:p>
    <w:p>
      <w:pPr>
        <w:pStyle w:val="17"/>
        <w:numPr>
          <w:ilvl w:val="0"/>
          <w:numId w:val="11"/>
        </w:numPr>
        <w:ind w:firstLineChars="0"/>
        <w:outlineLvl w:val="1"/>
        <w:rPr>
          <w:b/>
        </w:rPr>
      </w:pPr>
      <w:r>
        <w:rPr>
          <w:b/>
        </w:rPr>
        <w:t>CES2020：元戎启行推L4级自动驾驶平台</w:t>
      </w:r>
    </w:p>
    <w:p>
      <w:r>
        <w:t>在ces2020上，中国自动驾驶初创公司元戎启行宣布推出全新自动驾驶计算平台——deeproutetite。该计算平台基于车规级处理器平台英伟达xavier打造，并植入l4级自动驾驶所需的算法，整体功耗降到了45瓦，成本和体积也大幅缩小。</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部分货车通行费畸高</w:t>
      </w:r>
    </w:p>
    <w:p>
      <w:r>
        <w:t>针对取消高速公路省界收费站后，个别地方出现货车通行费畸高的现象，交通运输部公路局路网管理处处长顾志峰1月3日回应称，通行费畸高是技术问题，正在督促各地抓紧解决。</w:t>
      </w:r>
    </w:p>
    <w:p>
      <w:r>
        <w:rPr>
          <w:rFonts w:hint="eastAsia"/>
        </w:rPr>
        <w:t>由于联网收费系统刚刚切换，个别地方运行不太稳定，出现了一些异常的通行费费额，已经督促地方查明情况，本着通行优先和不让货车司机吃亏的原则，及时妥善处理。对难以迅速处理的，先抬杆放行，让车辆先走，核实清楚后，再予处理。对错计多收的通行费，已要求各地全额退还。切实维护货车的合法权益。相关地区已经组织技术团队，正在全力攻关，通过完善系统，从源头环节解决问题。</w:t>
      </w:r>
    </w:p>
    <w:p>
      <w:r>
        <w:rPr>
          <w:rFonts w:hint="eastAsia"/>
        </w:rPr>
        <w:t>根据新的收费规则，货车从计重收费改为按车（轴）型收费后，各地收费标准按里程加权平均的车货总质量为重要依据制定，交通运输部要求实现“两个确保”</w:t>
      </w:r>
      <w:r>
        <w:t>:一是确保货车通行费总体负担不增加；二是确保同一收费车型在标准状态下的应交通行费不大于计重收费时的费额。</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动力电池有序回收急需顶层设计</w:t>
      </w:r>
    </w:p>
    <w:p>
      <w:r>
        <w:rPr>
          <w:rFonts w:hint="eastAsia"/>
        </w:rPr>
        <w:t>从国外的成熟经验看，无论是像德国一样，立法明晰回收责任；还是如美国一般，制定标准约束行业，政府引导都在电池回收中起到关键作用。这些例子提醒着，搭建电池回收体系，尤需相关部门牵头。</w:t>
      </w:r>
    </w:p>
    <w:p>
      <w:r>
        <w:rPr>
          <w:rFonts w:hint="eastAsia"/>
        </w:rPr>
        <w:t>据测算，到</w:t>
      </w:r>
      <w:r>
        <w:t>2025年，动力电池报废量预计有近百万吨；到2030年，数字会进一步翻番。时间紧、任务重，建立绿色可持续的电池回收体系已刻不容缓。</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二手车市场信任瓶颈待破解</w:t>
      </w:r>
    </w:p>
    <w:p>
      <w:r>
        <w:rPr>
          <w:rFonts w:hint="eastAsia"/>
        </w:rPr>
        <w:t>为更好解决信任问题，优信、瓜子、人人车等二手车电商平台通过开展全国范围的布局，构建起“线上线下全渠道、业态融合体验式消费”商业模式。这些电商平台应用大数据和人工智能技术，积极构建车况透明、标准化定价的交易方式，将“一车一况一价”非标品的二手车予以标准化、透明化，方便各地消费者挑选和比价，并实现跨地域流通交易。</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蓝牌轻卡</w:t>
      </w:r>
      <w:r>
        <w:rPr>
          <w:b/>
        </w:rPr>
        <w:t>18吨仍可上高速，“续命”成功！</w:t>
      </w:r>
    </w:p>
    <w:p>
      <w:r>
        <w:rPr>
          <w:rFonts w:hint="eastAsia"/>
        </w:rPr>
        <w:t>根据最新的车型分类标准，二轴车被划分为</w:t>
      </w:r>
      <w:r>
        <w:t>1类货车和2类货车两种，其主要区别是车身长度超不超6米，以及总质量超不超4.5吨。</w:t>
      </w:r>
    </w:p>
    <w:p>
      <w:r>
        <w:rPr>
          <w:rFonts w:hint="eastAsia"/>
        </w:rPr>
        <w:t>因此，此前许多人都猜测蓝牌轻卡如果超过</w:t>
      </w:r>
      <w:r>
        <w:t>4.5吨这个坎，就会自动按照2类货车进行收费。</w:t>
      </w:r>
    </w:p>
    <w:p>
      <w:r>
        <w:t>2019年12月17日，交通部发布的《关于进一步规范全国高速公路入口称重检测工作的通知》中明确表示：在对二轴车进行专项治理前，暂时按照18吨进行认定。</w:t>
      </w:r>
      <w:r>
        <w:rPr>
          <w:rFonts w:hint="eastAsia"/>
        </w:rPr>
        <w:t>因此，蓝牌轻卡得以成果“续命”。　目前看来，蓝牌轻卡成功“续命”，但始终难逃未来的集中整治。</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山东：明确中央新能源汽车充电基础设施奖补资金使用方式</w:t>
      </w:r>
    </w:p>
    <w:p>
      <w:r>
        <w:rPr>
          <w:rFonts w:hint="eastAsia"/>
        </w:rPr>
        <w:t>近日，山东省能源局发布《关于明确中央新能源汽车充电基础设施奖补资金使用方式的通知》，通知规定了各项补贴的标准。充电设施按照单桩参照额定输出功率，给予一次性奖补。其中，直流快充桩奖补</w:t>
      </w:r>
      <w:r>
        <w:t>400元/千瓦，奖补上限4.8万元/桩；交流慢充桩奖补300元/千瓦，奖补上限2,000元/桩；带有有序充电控制功能的交流充电桩奖补400元/千瓦，奖补上限4,000元/桩。设施奖补金额不高于招标价格。</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山东明确汽车充电桩奖补资金使用方式</w:t>
      </w:r>
    </w:p>
    <w:p>
      <w:r>
        <w:rPr>
          <w:rFonts w:hint="eastAsia"/>
        </w:rPr>
        <w:t>近日，山东省能源局明确了山东省中央新能源汽车充电基础设施奖补资金使用方式，加快提升电动汽车充电基础设施建设支撑服务能力。全省范围内面向社会公众开放的居民小区充电桩、公用充电桩、党政机关企事业单位内部专用充电桩、充电服务示范居民小区充电桩及其相关配套充电基础设施等纳入奖补范围，按照单桩参照额定输出功率，给予一次性奖补。</w:t>
      </w:r>
    </w:p>
    <w:p>
      <w:r>
        <w:rPr>
          <w:rFonts w:hint="eastAsia"/>
        </w:rPr>
        <w:t>设施奖补，按照单桩参照额定输出功率，给予一次性奖补。其中，直流快充桩奖补</w:t>
      </w:r>
      <w:r>
        <w:t>400元/千瓦，奖补上限4.8万元/桩;交流慢充桩奖补300元/千瓦，奖补上限2000元/桩;带有有序充电控制功能的交流充电桩奖补400元/千瓦，奖补上限4000元/桩。设施奖补金额不高于招标价格。</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氢燃料电池牵引车又有新品面世</w:t>
      </w:r>
    </w:p>
    <w:p>
      <w:r>
        <w:rPr>
          <w:rFonts w:hint="eastAsia"/>
        </w:rPr>
        <w:t>近日，佛山飞驰研发出首款氢燃料电池牵引车。该款牵引车全长</w:t>
      </w:r>
      <w:r>
        <w:t>7.4米，总质量25000kg，最大允许鞍载质量达11500kg，满载质量达49000kg。在满载的情况下，续航里程仍高达400km。</w:t>
      </w:r>
    </w:p>
    <w:p>
      <w:r>
        <w:rPr>
          <w:rFonts w:hint="eastAsia"/>
        </w:rPr>
        <w:t>据悉，佛山飞驰已完成牵引车的整车制造，相关测试正在进行当中，值得关注。在未来，氢燃料的发展重点将落于牵引车行业，以推动牵引车新能源化的进程，助力我国氢能行业的进一步发展。</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首个汽车融资租赁收车规范出台</w:t>
      </w:r>
    </w:p>
    <w:p>
      <w:r>
        <w:rPr>
          <w:rFonts w:hint="eastAsia"/>
        </w:rPr>
        <w:t>据悉，《广州市汽车融资租赁收车工作规范》在收车规范、规范执行等具体方面进行了相关规定。该规范明确了债务催收人的告知义务，收车条件等等，并倡导收车人员在开始收车前向辖区公安机关进行报备，禁止采用暴力对车辆进行抢夺，砸毁车辆、车辆锁具，拘禁、殴打债务人及相关人员，对行进中的车辆进行追逐竞驶、逼停车辆等等</w:t>
      </w:r>
      <w:r>
        <w:t>9种收车行为。</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通用汽车公布2019年在华销量</w:t>
      </w:r>
    </w:p>
    <w:p>
      <w:r>
        <w:t>2019年，通用汽车在中国市场零售销量超过309万辆，与2018年364万辆的成绩相比下滑15%。</w:t>
      </w:r>
    </w:p>
    <w:p>
      <w:pPr>
        <w:rPr>
          <w:rFonts w:cs="宋体"/>
          <w:b/>
          <w:bCs/>
          <w:i/>
          <w:iCs/>
        </w:rPr>
      </w:pPr>
      <w:r>
        <w:rPr>
          <w:rFonts w:hint="eastAsia" w:cs="宋体"/>
          <w:b/>
          <w:bCs/>
          <w:i/>
          <w:iCs/>
        </w:rPr>
        <w:t>分析：。</w:t>
      </w:r>
    </w:p>
    <w:p>
      <w:pPr>
        <w:pStyle w:val="17"/>
        <w:numPr>
          <w:ilvl w:val="0"/>
          <w:numId w:val="6"/>
        </w:numPr>
        <w:ind w:firstLineChars="0"/>
        <w:outlineLvl w:val="1"/>
        <w:rPr>
          <w:b/>
        </w:rPr>
      </w:pPr>
      <w:r>
        <w:rPr>
          <w:rFonts w:hint="eastAsia"/>
          <w:b/>
        </w:rPr>
        <w:t>自动驾驶卡车测试牌照发放</w:t>
      </w:r>
    </w:p>
    <w:p>
      <w:r>
        <w:rPr>
          <w:rFonts w:hint="eastAsia"/>
        </w:rPr>
        <w:t>我国第一张在公开道路上自动驾驶卡车测试牌照，日前在上海自贸区临港新片区发放。</w:t>
      </w:r>
    </w:p>
    <w:p>
      <w:r>
        <w:rPr>
          <w:rFonts w:hint="eastAsia"/>
        </w:rPr>
        <w:t>这辆自动行驶在上海临港新片区东海大桥上的集装箱卡车，是我国颁发的第一张在公开道路上自动驾驶的卡车测试牌照，拥有完全的自主知识产权。</w:t>
      </w:r>
    </w:p>
    <w:p>
      <w:r>
        <w:rPr>
          <w:rFonts w:hint="eastAsia"/>
        </w:rPr>
        <w:t>现在，研发技术人员每天都在</w:t>
      </w:r>
      <w:r>
        <w:t>30多公里长的东海大桥上，对自动驾驶卡车紧急制动、障碍物识别及避让、传感器、融合激光雷达等26项关键技术进行检测，测试里程达5万多公里，各项技术指标均达到国际一流水平。</w:t>
      </w:r>
    </w:p>
    <w:p>
      <w:r>
        <w:rPr>
          <w:rFonts w:hint="eastAsia"/>
        </w:rPr>
        <w:t>据了解，自动驾驶卡车在公开道路上测试，是我国人工智能技术发展的重要技术突破，它不仅安全节能，还可以降低企业</w:t>
      </w:r>
      <w:r>
        <w:t>20%的运输成本。</w:t>
      </w:r>
    </w:p>
    <w:p>
      <w:r>
        <w:rPr>
          <w:rFonts w:hint="eastAsia"/>
        </w:rPr>
        <w:t>目前，世界上只有欧美等少数发达国家拥有这项技术，并且只能在固定区域进行有人值守的货物运输。在测试期间，卡车将在副驾驶位置搭载研发人员，对可能出现的紧急情况进行处理。</w:t>
      </w:r>
    </w:p>
    <w:p>
      <w:pPr>
        <w:rPr>
          <w:rFonts w:cs="宋体"/>
          <w:b/>
          <w:bCs/>
          <w:i/>
          <w:iCs/>
        </w:rPr>
      </w:pPr>
      <w:r>
        <w:rPr>
          <w:rFonts w:hint="eastAsia" w:cs="宋体"/>
          <w:b/>
          <w:bCs/>
          <w:i/>
          <w:iCs/>
        </w:rPr>
        <w:t>分析：。</w:t>
      </w:r>
    </w:p>
    <w:p>
      <w:pPr>
        <w:pStyle w:val="17"/>
        <w:numPr>
          <w:ilvl w:val="0"/>
          <w:numId w:val="9"/>
        </w:numPr>
        <w:ind w:firstLineChars="0"/>
        <w:outlineLvl w:val="0"/>
        <w:rPr>
          <w:b/>
        </w:rPr>
      </w:pPr>
      <w:r>
        <w:rPr>
          <w:rFonts w:hint="eastAsia" w:cs="宋体"/>
          <w:b/>
          <w:bCs/>
        </w:rPr>
        <w:t>跨国集团和国际市场</w:t>
      </w:r>
    </w:p>
    <w:p>
      <w:pPr>
        <w:pStyle w:val="17"/>
        <w:numPr>
          <w:ilvl w:val="0"/>
          <w:numId w:val="12"/>
        </w:numPr>
        <w:ind w:firstLineChars="0"/>
        <w:outlineLvl w:val="1"/>
        <w:rPr>
          <w:b/>
        </w:rPr>
      </w:pPr>
      <w:r>
        <w:rPr>
          <w:b/>
        </w:rPr>
        <w:t>2019美国皮卡市场销量曝光皮卡继续领跑</w:t>
      </w:r>
    </w:p>
    <w:p>
      <w:r>
        <w:rPr>
          <w:rFonts w:hint="eastAsia"/>
        </w:rPr>
        <w:t>随着</w:t>
      </w:r>
      <w:r>
        <w:t>12月销量的最终统计结果出炉，2019年美国汽车总销量定格在1710万辆，同比下跌1.6%。在美国车市整体下行的状态下，皮卡市场仍然是美国汽车市场的一枝独秀，今年美国皮卡市场总销量达3,113,943辆，同比增长5.4%，是近3年的新高。</w:t>
      </w:r>
    </w:p>
    <w:p>
      <w:r>
        <w:t>2020年，将会是美国皮卡市场的大年，电动皮卡将大举进攻，传统燃油皮卡又将迎来多个品牌的更新，2020年将会是“一绝死战”的一年，也将会是未知和挑战的一年。</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Canoo将电池和底盘合二为一</w:t>
      </w:r>
    </w:p>
    <w:p>
      <w:r>
        <w:t>Canoo公司旗下首款纯电动车CanooEV采用的滑板式底盘结构中，并没有设计单独的动力电池包，而是将动力电池组与底盘融为一体，在减轻底盘重量的同时也可以降低一部分成本。据了解，该车量产版本的动力电池容量或为80千瓦时，在EPA工况下续航里程可达250英里（约为402公里）。</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奥迪</w:t>
      </w:r>
      <w:r>
        <w:rPr>
          <w:b/>
        </w:rPr>
        <w:t>2019年全球销量增长1.8%达184.6万辆</w:t>
      </w:r>
    </w:p>
    <w:p>
      <w:r>
        <w:rPr>
          <w:rFonts w:hint="eastAsia"/>
        </w:rPr>
        <w:t>奥迪官方公布了</w:t>
      </w:r>
      <w:r>
        <w:t>2019年全球新车交付量。去年，奥迪在全球的销量为1，845，550台，同比增长了1.8%。其中，中国、美国和德国为奥迪的三大核心市场。</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宝马新能源电池或达</w:t>
      </w:r>
      <w:r>
        <w:rPr>
          <w:b/>
        </w:rPr>
        <w:t>120kWh</w:t>
      </w:r>
    </w:p>
    <w:p>
      <w:r>
        <w:t>宝马正在积极测试新能源模块化动力系统，该系统可以兼容宝马旗下大部分现有车型，提前为即将来临的全球电气化产业打下基石。据悉，这套全新的纯电动驱动系统将配备一块容量为120kWh的三元锂电池，并搭载两台总功率为493kW的双电机系统。</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宝马欲推出氢燃料版X6/X7</w:t>
      </w:r>
    </w:p>
    <w:p>
      <w:r>
        <w:rPr>
          <w:rFonts w:hint="eastAsia"/>
        </w:rPr>
        <w:t>宝马研发负责人克劳斯·弗洛里希透露称，通过与丰田合作开发的燃料电池技术，该品牌或将推出氢燃料电池版本的</w:t>
      </w:r>
      <w:r>
        <w:t>X6、X7车型，且有望近期进行试生产，但具体上市时间有待进一步确定。</w:t>
      </w:r>
    </w:p>
    <w:p>
      <w:r>
        <w:rPr>
          <w:rFonts w:hint="eastAsia"/>
        </w:rPr>
        <w:t>根据克劳斯·弗洛里希的说法，目前燃料电池动力总成比纯电动车的动力系统成本高出约</w:t>
      </w:r>
      <w:r>
        <w:t>10倍，但宝马计划到2025年大幅降低该部分成本。</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奔驰再夺豪华品牌销量冠军</w:t>
      </w:r>
    </w:p>
    <w:p>
      <w:r>
        <w:rPr>
          <w:rFonts w:hint="eastAsia"/>
        </w:rPr>
        <w:t>梅赛德斯</w:t>
      </w:r>
      <w:r>
        <w:t>-奔驰在2019年累计售出汽车2339562辆，同比增长1.3%，这既是该品牌连续九年实现销量同比正增长，也是该品牌连续第四年夺得全球豪华品牌销量冠军。从梅赛德斯-奔驰全球销量布局看，中国仍是该企业最大单一市场。12月，该企业在华售出汽车52510辆，同比增长5.2%；2019年全年，该企业累计销量达693443辆，同比增长6.2%。国产车型的热销是梅赛德斯-奔驰品牌在华销量增长的最大功臣，根据企业官方公布的数据，目前该品牌在华共有8款国产车型，在该品牌总销量中占比超过四分之三</w:t>
      </w:r>
      <w:r>
        <w:rPr>
          <w:rFonts w:hint="eastAsia"/>
        </w:rPr>
        <w:t>，其中奔驰</w:t>
      </w:r>
      <w:r>
        <w:t>C级、奔驰E级以及奔驰GLC尤为受欢迎。</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博世为自动驾驶量产首个车用级激光雷达系统</w:t>
      </w:r>
    </w:p>
    <w:p>
      <w:r>
        <w:rPr>
          <w:rFonts w:hint="eastAsia"/>
        </w:rPr>
        <w:t>博世正在准备量产首个车用级激光雷达系统</w:t>
      </w:r>
      <w:r>
        <w:t>-长距离激光雷达传感器。对于SAE定义的L3至L5自动驾驶功能来说，激光测距技术必不可少。新型博世传感器同时覆盖长距离和短距离，适用于高速公路和城市道路的自动驾驶场景。通过规模化量产，博世希望能够降低该技术的成本，让其适合大众市场。</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戴姆勒和沃尔沃探讨在内燃机领域合作</w:t>
      </w:r>
    </w:p>
    <w:p>
      <w:r>
        <w:rPr>
          <w:rFonts w:hint="eastAsia"/>
        </w:rPr>
        <w:t>据《德国汽车周刊》周日援引匿名消息人士称，奔驰母公司戴姆勒和沃尔沃汽车正考虑在内燃机领域进行合作，以削减研发成本。</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电装合作高通研发座舱系统</w:t>
      </w:r>
      <w:r>
        <w:rPr>
          <w:b/>
        </w:rPr>
        <w:t>保证快速提供信息</w:t>
      </w:r>
    </w:p>
    <w:p>
      <w:r>
        <w:rPr>
          <w:rFonts w:hint="eastAsia"/>
        </w:rPr>
        <w:t>在</w:t>
      </w:r>
      <w:r>
        <w:t>2020年国际消费类电子产品展览会上，日产汽车将推出全新的轻量化超级隔音材料，可加强车厢静谧性，同时还有助于提升燃油经济性。</w:t>
      </w:r>
    </w:p>
    <w:p>
      <w:r>
        <w:rPr>
          <w:rFonts w:hint="eastAsia"/>
        </w:rPr>
        <w:t>日产汽车超级隔音材料由晶体结构与塑料薄膜组合而成，可以有效控制空气震动，降低车辆在道路行驶和发动机工作时产生的宽频噪音（</w:t>
      </w:r>
      <w:r>
        <w:t>500-1200Hz）的传播。</w:t>
      </w:r>
    </w:p>
    <w:p>
      <w:r>
        <w:rPr>
          <w:rFonts w:hint="eastAsia" w:cs="宋体"/>
          <w:b/>
          <w:bCs/>
          <w:i/>
          <w:iCs/>
        </w:rPr>
        <w:t>分析：。</w:t>
      </w:r>
    </w:p>
    <w:p>
      <w:pPr>
        <w:pStyle w:val="17"/>
        <w:numPr>
          <w:ilvl w:val="0"/>
          <w:numId w:val="12"/>
        </w:numPr>
        <w:ind w:firstLineChars="0"/>
        <w:outlineLvl w:val="1"/>
        <w:rPr>
          <w:b/>
        </w:rPr>
      </w:pPr>
      <w:r>
        <w:rPr>
          <w:rFonts w:hint="eastAsia"/>
          <w:b/>
        </w:rPr>
        <w:t>动力电池质保升至</w:t>
      </w:r>
      <w:r>
        <w:rPr>
          <w:b/>
        </w:rPr>
        <w:t>16万公里宝马i3发布新政策</w:t>
      </w:r>
    </w:p>
    <w:p>
      <w:r>
        <w:rPr>
          <w:rFonts w:hint="eastAsia"/>
        </w:rPr>
        <w:t>宝马将其纯电动车型</w:t>
      </w:r>
      <w:r>
        <w:t>i3的动力电池质保里程数，由此前的10万公里提升到了16万公里。</w:t>
      </w:r>
    </w:p>
    <w:p>
      <w:r>
        <w:rPr>
          <w:rFonts w:hint="eastAsia"/>
        </w:rPr>
        <w:t>从此次质保政策的改变可以看出，宝马对</w:t>
      </w:r>
      <w:r>
        <w:t>i3动力电池的耐用性还是比较满意的。</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丰田</w:t>
      </w:r>
      <w:r>
        <w:rPr>
          <w:b/>
        </w:rPr>
        <w:t>2025年至少推10款纯电车目标50万台</w:t>
      </w:r>
    </w:p>
    <w:p>
      <w:r>
        <w:rPr>
          <w:rFonts w:hint="eastAsia"/>
        </w:rPr>
        <w:t>据《日本经济新闻》报道，丰田汽车计划</w:t>
      </w:r>
      <w:r>
        <w:t>2025年在全球销售50万辆纯电动汽车，这一销量远远落后于全球竞争对手大众汽，但足以满合中国和欧洲的碳排放规定。</w:t>
      </w:r>
      <w:r>
        <w:rPr>
          <w:rFonts w:hint="eastAsia"/>
        </w:rPr>
        <w:t>丰田计划到</w:t>
      </w:r>
      <w:r>
        <w:t>2025年，至少推出10款纯电动车。这家日本最大的汽车制造商今年将在中国和欧洲推出雷克萨斯（Lexus）UX300e运动型多用途车（SUV）等电动车型。</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丰田明年初开始打造未来城市</w:t>
      </w:r>
    </w:p>
    <w:p>
      <w:r>
        <w:t>丰田汽车公司在2020年消费电子展（CES）上展示了“互联城市”项目，该项目计划以将于2020年底关闭的丰田汽车日本东富士工厂为场地，于2021年初开始建设。丰田汽车拟与合作伙伴、研究人员一起创建这一新城镇。</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福特</w:t>
      </w:r>
      <w:r>
        <w:rPr>
          <w:b/>
        </w:rPr>
        <w:t>:四轮转向技术专利申请机动性更强</w:t>
      </w:r>
    </w:p>
    <w:p>
      <w:r>
        <w:t>据悉，四轮转向技术并不新鲜，它已被用于某些类型的重型机械，及大型卡车，以提高机动性。至于量产汽车，这项技术自上世纪80年代就已出现，目前应用于911、布加迪Chiron和兰博基尼HuracanEvo等高端车型。然而，福特似乎在寻求将这项技术添加到它的F系列皮卡上，在2019年12月福特提交一份该相关技术的专利申请，这项专利的目的是将一种四轮转向系统应用到福特重型皮卡上。车辆的后轮转向将由执行器以电子方式激活和控制。专利提交还规定了使用阿克曼转向几何，是为了解决车辆转弯时，内外转向轮路径指向的圆心不同。避免在汽车转向时产生路面对汽车行驶的附加阻力和轮胎过快磨损，从而改善了操控性。如果这种新的转向技术能应用到福特皮卡上，就能提高机动性。这也是福特首次在其汽车中采用四轮转向系统。</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高通发布新自动驾驶计算平台</w:t>
      </w:r>
    </w:p>
    <w:p>
      <w:r>
        <w:t>在2020年国际消费电子展上，高通旗下子公司高通科技推出全新SnapdragonRide平台。该平台可满足从L1/L2级ADAS（高级驾驶辅助），到L2+，再到L4/L5级自动驾驶的复杂运算需求。按照计划，SnapdragonRide将于2020年上半年交付主机厂和Tier1供应商进行前期开发，搭载该平台的汽车预计将于2030年投产。</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海拉为</w:t>
      </w:r>
      <w:r>
        <w:rPr>
          <w:b/>
        </w:rPr>
        <w:t>L2/L3和自动驾驶提供雷达感知平台</w:t>
      </w:r>
    </w:p>
    <w:p>
      <w:r>
        <w:rPr>
          <w:rFonts w:hint="eastAsia"/>
        </w:rPr>
        <w:t>海拉宣布与</w:t>
      </w:r>
      <w:r>
        <w:t>Oculii建立了战略合作伙伴关系，基于Oculii的虚拟孔径成像软件技术（VirtualApertureImagingSoftwareTechnology）与海拉在汽车雷达领域的经验和领导地位，提供适用于L2/L3高级驾驶辅助系统（ADAS）和自动驾驶（AD）的高性能雷达传感和感知解决方案。</w:t>
      </w:r>
    </w:p>
    <w:p>
      <w:r>
        <w:rPr>
          <w:rFonts w:hint="eastAsia" w:cs="宋体"/>
          <w:b/>
          <w:bCs/>
          <w:i/>
          <w:iCs/>
        </w:rPr>
        <w:t>分析：。</w:t>
      </w:r>
    </w:p>
    <w:p>
      <w:pPr>
        <w:pStyle w:val="17"/>
        <w:numPr>
          <w:ilvl w:val="0"/>
          <w:numId w:val="12"/>
        </w:numPr>
        <w:ind w:firstLineChars="0"/>
        <w:outlineLvl w:val="1"/>
        <w:rPr>
          <w:b/>
        </w:rPr>
      </w:pPr>
      <w:r>
        <w:rPr>
          <w:b/>
        </w:rPr>
        <w:t>美国限制AI软件出口中国</w:t>
      </w:r>
    </w:p>
    <w:p>
      <w:r>
        <w:rPr>
          <w:rFonts w:hint="eastAsia"/>
        </w:rPr>
        <w:t>美国政府在</w:t>
      </w:r>
      <w:r>
        <w:t>1月3日宣布，将采取措施限制人工智能（ai）软件的出口，以防止敏感技术落入中国等竞争对手手中。</w:t>
      </w:r>
    </w:p>
    <w:p>
      <w:r>
        <w:rPr>
          <w:rFonts w:hint="eastAsia"/>
        </w:rPr>
        <w:t>根据即将在</w:t>
      </w:r>
      <w:r>
        <w:t>1月6日生效的一项新规定，美国工业和安全局（bis）修改了《出口管理条例》，美国企业想要出口用于“自动分析地理空间图像的软件”，必须获得相关许可证，出口加拿大除外。这项规定可能影响到涉及航拍地图、3d地图的相关领域，包括无人机、自动驾驶公司等。</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美国</w:t>
      </w:r>
      <w:r>
        <w:rPr>
          <w:rFonts w:hint="eastAsia"/>
          <w:b/>
        </w:rPr>
        <w:t>整合</w:t>
      </w:r>
      <w:r>
        <w:rPr>
          <w:b/>
        </w:rPr>
        <w:t>38个部门发布自动驾驶4.0计划</w:t>
      </w:r>
    </w:p>
    <w:p>
      <w:r>
        <w:rPr>
          <w:rFonts w:hint="eastAsia"/>
        </w:rPr>
        <w:t>美国交通部长赵小兰在</w:t>
      </w:r>
      <w:r>
        <w:t>2020年国际消费类电子产品展览会（CES）宣布，美国正式发布自动驾驶4.0计划，以确保在自动驾驶领域的领先地位。</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日本资本参与拜腾</w:t>
      </w:r>
      <w:r>
        <w:rPr>
          <w:b/>
        </w:rPr>
        <w:t>C轮融资</w:t>
      </w:r>
    </w:p>
    <w:p>
      <w:r>
        <w:t>拜腾汽车在CES上宣布与日本丸红株式会社宣布正式达成战略合作，丸红将参与拜腾的C轮融资，双方还将在出行服务、能源解决方案及海外生产和销售等多个领域探讨进一步合作。</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特斯拉欧洲工厂将于</w:t>
      </w:r>
      <w:r>
        <w:rPr>
          <w:b/>
        </w:rPr>
        <w:t>2021年开始生产</w:t>
      </w:r>
    </w:p>
    <w:p>
      <w:r>
        <w:t>在德国环境部的审核程序开始之后，特斯拉在该国的超级工厂4计划变得更加具体。该公司预计，在超级工厂4第一阶段建设完成之后，他们将于2021年7月开始在这里生产15万辆ModelY和Model3车型。</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沃尔沃2019年全球销售70万辆</w:t>
      </w:r>
      <w:r>
        <w:rPr>
          <w:rFonts w:hint="eastAsia"/>
          <w:b/>
        </w:rPr>
        <w:t>中国占</w:t>
      </w:r>
      <w:r>
        <w:rPr>
          <w:b/>
        </w:rPr>
        <w:t>22%</w:t>
      </w:r>
    </w:p>
    <w:p>
      <w:r>
        <w:rPr>
          <w:rFonts w:hint="eastAsia"/>
        </w:rPr>
        <w:t>沃尔沃公布了最新销量数据：</w:t>
      </w:r>
      <w:r>
        <w:t>2019年全球销量再创新高，共售出705452辆，较2018年同期增长9.8%。这是沃尔沃汽车成立93年以来首次突破70万辆大关。</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现代汽车联手</w:t>
      </w:r>
      <w:r>
        <w:rPr>
          <w:b/>
        </w:rPr>
        <w:t>Uber开发电动空中出租车</w:t>
      </w:r>
    </w:p>
    <w:p>
      <w:r>
        <w:t>美国网约车企业Uber与韩国汽车制造商现代汽车近日表示，双方计划联手开发电动空中出租车，加入使用飞行车辆缓解城市拥堵的行列。</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依维柯联手尼古拉推出电动卡车</w:t>
      </w:r>
    </w:p>
    <w:p>
      <w:r>
        <w:t>它是基于7月推出的依维柯S-Way卡车设计的。NikolaTRE集成了Nikola的先进电子技术和新一代专有的信息娱乐系统。</w:t>
      </w:r>
    </w:p>
    <w:p>
      <w:r>
        <w:rPr>
          <w:rFonts w:hint="eastAsia"/>
        </w:rPr>
        <w:t>尼古拉和</w:t>
      </w:r>
      <w:r>
        <w:t>Italdesign在都灵蒙卡列里总部进行了将尼古拉设计与依维柯S-Way的合体使用，外观看起来非常的科幻。依维柯商用车总裁GerritMarx表示，依维柯S-Way是尼古拉TRE的基础，标志着零排放卡车新旅程的开始，为我们提供了零排放的技术与产品将会改变运输业。</w:t>
      </w:r>
    </w:p>
    <w:p>
      <w:r>
        <w:rPr>
          <w:rFonts w:hint="eastAsia"/>
        </w:rPr>
        <w:t>它将配备总容量高达</w:t>
      </w:r>
      <w:r>
        <w:t>720kWh的模块化电池系统，可以根据客户的任务量身定制。电动传动系统将以1800Nm的峰值扭矩提供480kW的连续功率输出。</w:t>
      </w:r>
    </w:p>
    <w:p>
      <w:r>
        <w:t>NikolaTRE也将提供2轴和3轴刚性版本，车辆总重范围从18到26吨不等，用于城市配送和市政任务。</w:t>
      </w:r>
    </w:p>
    <w:p>
      <w:r>
        <w:t>NikolaTRE将在德国的IAA2020展览会和NikolaWorld2020上推出。该计划计划在2021年向客户交付第一批产品，而FCEV将在2023年向客户提供。</w:t>
      </w:r>
    </w:p>
    <w:p>
      <w:pPr>
        <w:rPr>
          <w:rFonts w:cs="宋体"/>
          <w:b/>
          <w:bCs/>
          <w:i/>
          <w:iCs/>
        </w:rPr>
      </w:pPr>
      <w:r>
        <w:rPr>
          <w:rFonts w:hint="eastAsia" w:cs="宋体"/>
          <w:b/>
          <w:bCs/>
          <w:i/>
          <w:iCs/>
        </w:rPr>
        <w:t>分析：。</w:t>
      </w:r>
    </w:p>
    <w:p>
      <w:pPr>
        <w:pStyle w:val="17"/>
        <w:numPr>
          <w:ilvl w:val="0"/>
          <w:numId w:val="12"/>
        </w:numPr>
        <w:ind w:firstLineChars="0"/>
        <w:outlineLvl w:val="1"/>
        <w:rPr>
          <w:b/>
        </w:rPr>
      </w:pPr>
      <w:r>
        <w:rPr>
          <w:rFonts w:hint="eastAsia"/>
          <w:b/>
        </w:rPr>
        <w:t>印度再度负增长</w:t>
      </w:r>
      <w:r>
        <w:rPr>
          <w:b/>
        </w:rPr>
        <w:t>跌幅为近二十年最大</w:t>
      </w:r>
    </w:p>
    <w:p>
      <w:r>
        <w:rPr>
          <w:rFonts w:hint="eastAsia"/>
        </w:rPr>
        <w:t>据印度汽车网站</w:t>
      </w:r>
      <w:r>
        <w:t>Autopunditz批发数据（不含豪华品牌），2019年印度乘用车总销量为2,936,214辆，同比下跌12.4%，其中11月同比微跌0.5%至234,805辆。</w:t>
      </w:r>
    </w:p>
    <w:p>
      <w:r>
        <w:rPr>
          <w:rFonts w:hint="eastAsia"/>
        </w:rPr>
        <w:t>尽管最后两个月的跌幅均收窄至</w:t>
      </w:r>
      <w:r>
        <w:t>1%以内，但2019年全年仍比2018年少41.4万辆，这让2019年成为近20年来印度乘用车跌幅最大的年份，跌幅远超此前2001年和2013年的个位数。</w:t>
      </w:r>
    </w:p>
    <w:p>
      <w:pPr>
        <w:rPr>
          <w:rFonts w:cs="宋体"/>
          <w:b/>
          <w:bCs/>
          <w:i/>
          <w:iCs/>
        </w:rPr>
      </w:pPr>
      <w:r>
        <w:rPr>
          <w:rFonts w:hint="eastAsia" w:cs="宋体"/>
          <w:b/>
          <w:bCs/>
          <w:i/>
          <w:iCs/>
        </w:rPr>
        <w:t>分析：。</w:t>
      </w:r>
    </w:p>
    <w:p>
      <w:pPr>
        <w:pStyle w:val="17"/>
        <w:numPr>
          <w:ilvl w:val="0"/>
          <w:numId w:val="12"/>
        </w:numPr>
        <w:ind w:firstLineChars="0"/>
        <w:outlineLvl w:val="1"/>
        <w:rPr>
          <w:b/>
        </w:rPr>
      </w:pPr>
      <w:r>
        <w:rPr>
          <w:b/>
        </w:rPr>
        <w:t>英国汽车销量跌至最低</w:t>
      </w:r>
      <w:r>
        <w:rPr>
          <w:rFonts w:hint="eastAsia"/>
          <w:b/>
        </w:rPr>
        <w:t>受排脱欧不确定性影响</w:t>
      </w:r>
    </w:p>
    <w:p>
      <w:r>
        <w:rPr>
          <w:rFonts w:hint="eastAsia"/>
        </w:rPr>
        <w:t>由于对柴油车的限制提升，以及受到英国脱欧前持续的经济不确定性影响，消费者的购车意愿出现下降，去年英国市场上售出的新车数量跌到了</w:t>
      </w:r>
      <w:r>
        <w:t>2013年以来的最低点。</w:t>
      </w:r>
    </w:p>
    <w:p>
      <w:r>
        <w:rPr>
          <w:rFonts w:hint="eastAsia"/>
        </w:rPr>
        <w:t>汽车制造商和贸易商协会</w:t>
      </w:r>
      <w:r>
        <w:t>(SMMT)的数据显示，2019年英国新车注册量下降了2%，至231万辆，这是自2016年销量达到269万辆高峰以来连续第三年销量下降。</w:t>
      </w:r>
    </w:p>
    <w:p>
      <w:pPr>
        <w:rPr>
          <w:rFonts w:cs="宋体"/>
          <w:b/>
          <w:bCs/>
          <w:i/>
          <w:iCs/>
        </w:rPr>
      </w:pPr>
      <w:r>
        <w:rPr>
          <w:rFonts w:hint="eastAsia" w:cs="宋体"/>
          <w:b/>
          <w:bCs/>
          <w:i/>
          <w:iCs/>
        </w:rPr>
        <w:t>分析：。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0"/>
    <w:family w:val="auto"/>
    <w:pitch w:val="variable"/>
    <w:sig w:usb0="E00002FF" w:usb1="42002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r>
      <w:drawing>
        <wp:inline distT="0" distB="0" distL="0" distR="0">
          <wp:extent cx="895350" cy="292100"/>
          <wp:effectExtent l="0" t="0" r="0" b="0"/>
          <wp:docPr id="5" name="图片 7"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6549F"/>
    <w:multiLevelType w:val="singleLevel"/>
    <w:tmpl w:val="10F6549F"/>
    <w:lvl w:ilvl="0" w:tentative="0">
      <w:start w:val="1"/>
      <w:numFmt w:val="decimal"/>
      <w:lvlText w:val="%1."/>
      <w:lvlJc w:val="left"/>
      <w:pPr>
        <w:tabs>
          <w:tab w:val="left" w:pos="425"/>
        </w:tabs>
        <w:ind w:left="425" w:hanging="425"/>
      </w:pPr>
      <w:rPr>
        <w:rFonts w:hint="default"/>
      </w:rPr>
    </w:lvl>
  </w:abstractNum>
  <w:abstractNum w:abstractNumId="1">
    <w:nsid w:val="11B92B92"/>
    <w:multiLevelType w:val="multilevel"/>
    <w:tmpl w:val="11B92B92"/>
    <w:lvl w:ilvl="0" w:tentative="0">
      <w:start w:val="1"/>
      <w:numFmt w:val="chineseCountingThousand"/>
      <w:lvlText w:val="%1、"/>
      <w:lvlJc w:val="left"/>
      <w:pPr>
        <w:ind w:left="225" w:hanging="225"/>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3B003BF"/>
    <w:multiLevelType w:val="multilevel"/>
    <w:tmpl w:val="13B003BF"/>
    <w:lvl w:ilvl="0" w:tentative="0">
      <w:start w:val="4"/>
      <w:numFmt w:val="japaneseCounting"/>
      <w:lvlText w:val="%1、"/>
      <w:lvlJc w:val="left"/>
      <w:pPr>
        <w:ind w:left="435" w:hanging="43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2042AA1"/>
    <w:multiLevelType w:val="multilevel"/>
    <w:tmpl w:val="22042AA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5A45500"/>
    <w:multiLevelType w:val="multilevel"/>
    <w:tmpl w:val="45A455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A282915"/>
    <w:multiLevelType w:val="multilevel"/>
    <w:tmpl w:val="4A28291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794E7AB"/>
    <w:multiLevelType w:val="singleLevel"/>
    <w:tmpl w:val="5794E7AB"/>
    <w:lvl w:ilvl="0" w:tentative="0">
      <w:start w:val="1"/>
      <w:numFmt w:val="decimal"/>
      <w:lvlText w:val="%1."/>
      <w:lvlJc w:val="left"/>
      <w:pPr>
        <w:ind w:left="420" w:hanging="420"/>
      </w:pPr>
      <w:rPr>
        <w:rFonts w:hint="default"/>
      </w:rPr>
    </w:lvl>
  </w:abstractNum>
  <w:abstractNum w:abstractNumId="7">
    <w:nsid w:val="57CC5A31"/>
    <w:multiLevelType w:val="singleLevel"/>
    <w:tmpl w:val="57CC5A31"/>
    <w:lvl w:ilvl="0" w:tentative="0">
      <w:start w:val="1"/>
      <w:numFmt w:val="decimal"/>
      <w:lvlText w:val="%1."/>
      <w:lvlJc w:val="left"/>
      <w:pPr>
        <w:tabs>
          <w:tab w:val="left" w:pos="425"/>
        </w:tabs>
        <w:ind w:left="425" w:hanging="425"/>
      </w:pPr>
      <w:rPr>
        <w:rFonts w:hint="default"/>
      </w:rPr>
    </w:lvl>
  </w:abstractNum>
  <w:abstractNum w:abstractNumId="8">
    <w:nsid w:val="5CA03948"/>
    <w:multiLevelType w:val="multilevel"/>
    <w:tmpl w:val="5CA0394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F410542"/>
    <w:multiLevelType w:val="multilevel"/>
    <w:tmpl w:val="5F410542"/>
    <w:lvl w:ilvl="0" w:tentative="0">
      <w:start w:val="5"/>
      <w:numFmt w:val="japaneseCounting"/>
      <w:lvlText w:val="%1、"/>
      <w:lvlJc w:val="left"/>
      <w:pPr>
        <w:ind w:left="450" w:hanging="45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7250561"/>
    <w:multiLevelType w:val="multilevel"/>
    <w:tmpl w:val="7725056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89D6E71"/>
    <w:multiLevelType w:val="multilevel"/>
    <w:tmpl w:val="789D6E71"/>
    <w:lvl w:ilvl="0" w:tentative="0">
      <w:start w:val="3"/>
      <w:numFmt w:val="japaneseCounting"/>
      <w:lvlText w:val="%1、"/>
      <w:lvlJc w:val="left"/>
      <w:pPr>
        <w:ind w:left="420" w:hanging="42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4"/>
  </w:num>
  <w:num w:numId="4">
    <w:abstractNumId w:val="11"/>
  </w:num>
  <w:num w:numId="5">
    <w:abstractNumId w:val="10"/>
  </w:num>
  <w:num w:numId="6">
    <w:abstractNumId w:val="8"/>
  </w:num>
  <w:num w:numId="7">
    <w:abstractNumId w:val="2"/>
  </w:num>
  <w:num w:numId="8">
    <w:abstractNumId w:val="5"/>
  </w:num>
  <w:num w:numId="9">
    <w:abstractNumId w:val="9"/>
  </w:num>
  <w:num w:numId="10">
    <w:abstractNumId w:val="7"/>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06B27"/>
    <w:rsid w:val="00057B0E"/>
    <w:rsid w:val="000B2E9F"/>
    <w:rsid w:val="001B6C7A"/>
    <w:rsid w:val="00243F58"/>
    <w:rsid w:val="00294FF5"/>
    <w:rsid w:val="002F40AD"/>
    <w:rsid w:val="00306B27"/>
    <w:rsid w:val="00314F59"/>
    <w:rsid w:val="003F5544"/>
    <w:rsid w:val="00402A0C"/>
    <w:rsid w:val="004B02CB"/>
    <w:rsid w:val="00502C58"/>
    <w:rsid w:val="00585BBF"/>
    <w:rsid w:val="005F47FE"/>
    <w:rsid w:val="00697D50"/>
    <w:rsid w:val="006A6270"/>
    <w:rsid w:val="006C1C4A"/>
    <w:rsid w:val="007525E0"/>
    <w:rsid w:val="007D215D"/>
    <w:rsid w:val="00802C56"/>
    <w:rsid w:val="00920D8D"/>
    <w:rsid w:val="009E3741"/>
    <w:rsid w:val="00AC56CC"/>
    <w:rsid w:val="00B828FA"/>
    <w:rsid w:val="00BA6EE3"/>
    <w:rsid w:val="00CC5FCD"/>
    <w:rsid w:val="00CC6706"/>
    <w:rsid w:val="00D05E30"/>
    <w:rsid w:val="00E01DE5"/>
    <w:rsid w:val="00E15B94"/>
    <w:rsid w:val="00E8047B"/>
    <w:rsid w:val="00E96C28"/>
    <w:rsid w:val="00F277ED"/>
    <w:rsid w:val="00F72B2C"/>
    <w:rsid w:val="0CC84EF5"/>
    <w:rsid w:val="40722992"/>
    <w:rsid w:val="59B51C82"/>
    <w:rsid w:val="69A83C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alloon Text"/>
    <w:basedOn w:val="1"/>
    <w:link w:val="18"/>
    <w:qFormat/>
    <w:uiPriority w:val="0"/>
    <w:rPr>
      <w:sz w:val="18"/>
      <w:szCs w:val="18"/>
    </w:rPr>
  </w:style>
  <w:style w:type="paragraph" w:styleId="5">
    <w:name w:val="footer"/>
    <w:basedOn w:val="1"/>
    <w:link w:val="14"/>
    <w:unhideWhenUsed/>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1"/>
    <w:semiHidden/>
    <w:unhideWhenUsed/>
    <w:qFormat/>
    <w:uiPriority w:val="99"/>
    <w:rPr>
      <w:b/>
      <w:bCs/>
    </w:rPr>
  </w:style>
  <w:style w:type="character" w:styleId="10">
    <w:name w:val="Strong"/>
    <w:basedOn w:val="9"/>
    <w:qFormat/>
    <w:uiPriority w:val="0"/>
    <w:rPr>
      <w:b/>
    </w:rPr>
  </w:style>
  <w:style w:type="character" w:styleId="11">
    <w:name w:val="Hyperlink"/>
    <w:basedOn w:val="9"/>
    <w:unhideWhenUsed/>
    <w:qFormat/>
    <w:uiPriority w:val="99"/>
    <w:rPr>
      <w:color w:val="0563C1" w:themeColor="hyperlink"/>
      <w:u w:val="single"/>
    </w:rPr>
  </w:style>
  <w:style w:type="character" w:styleId="12">
    <w:name w:val="annotation reference"/>
    <w:basedOn w:val="9"/>
    <w:semiHidden/>
    <w:unhideWhenUsed/>
    <w:qFormat/>
    <w:uiPriority w:val="99"/>
    <w:rPr>
      <w:sz w:val="21"/>
      <w:szCs w:val="21"/>
    </w:rPr>
  </w:style>
  <w:style w:type="character" w:customStyle="1" w:styleId="13">
    <w:name w:val="页眉 Char"/>
    <w:basedOn w:val="9"/>
    <w:link w:val="6"/>
    <w:qFormat/>
    <w:uiPriority w:val="99"/>
    <w:rPr>
      <w:sz w:val="18"/>
      <w:szCs w:val="18"/>
    </w:rPr>
  </w:style>
  <w:style w:type="character" w:customStyle="1" w:styleId="14">
    <w:name w:val="页脚 Char"/>
    <w:basedOn w:val="9"/>
    <w:link w:val="5"/>
    <w:qFormat/>
    <w:uiPriority w:val="0"/>
    <w:rPr>
      <w:sz w:val="18"/>
      <w:szCs w:val="18"/>
    </w:rPr>
  </w:style>
  <w:style w:type="character" w:customStyle="1" w:styleId="15">
    <w:name w:val="标题 2 Char"/>
    <w:basedOn w:val="9"/>
    <w:link w:val="2"/>
    <w:semiHidden/>
    <w:uiPriority w:val="0"/>
    <w:rPr>
      <w:rFonts w:asciiTheme="majorHAnsi" w:hAnsiTheme="majorHAnsi" w:eastAsiaTheme="majorEastAsia" w:cstheme="majorBidi"/>
      <w:b/>
      <w:bCs/>
      <w:sz w:val="32"/>
      <w:szCs w:val="32"/>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style>
  <w:style w:type="character" w:customStyle="1" w:styleId="18">
    <w:name w:val="批注框文本 Char"/>
    <w:basedOn w:val="9"/>
    <w:link w:val="4"/>
    <w:qFormat/>
    <w:uiPriority w:val="0"/>
    <w:rPr>
      <w:sz w:val="18"/>
      <w:szCs w:val="18"/>
    </w:rPr>
  </w:style>
  <w:style w:type="character" w:customStyle="1" w:styleId="19">
    <w:name w:val="apple-converted-space"/>
    <w:basedOn w:val="9"/>
    <w:uiPriority w:val="0"/>
  </w:style>
  <w:style w:type="character" w:customStyle="1" w:styleId="20">
    <w:name w:val="批注文字 Char"/>
    <w:basedOn w:val="9"/>
    <w:link w:val="3"/>
    <w:semiHidden/>
    <w:qFormat/>
    <w:uiPriority w:val="99"/>
    <w:rPr>
      <w:szCs w:val="24"/>
    </w:rPr>
  </w:style>
  <w:style w:type="character" w:customStyle="1" w:styleId="21">
    <w:name w:val="批注主题 Char"/>
    <w:basedOn w:val="20"/>
    <w:link w:val="7"/>
    <w:semiHidden/>
    <w:uiPriority w:val="99"/>
    <w:rPr>
      <w:b/>
      <w:bCs/>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hyperlink" Target="http://i.way-s.cn/client.html#/news/notokendetail?id=5e150b00d04ed9445d7e5b92" TargetMode="Externa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DD78C-2BB7-4EC6-B980-EC1A281139F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2571</Words>
  <Characters>14659</Characters>
  <Lines>122</Lines>
  <Paragraphs>34</Paragraphs>
  <TotalTime>149</TotalTime>
  <ScaleCrop>false</ScaleCrop>
  <LinksUpToDate>false</LinksUpToDate>
  <CharactersWithSpaces>17196</CharactersWithSpaces>
  <Application>WPS Office_11.1.0.9141_F1E327BC-269C-435d-A152-05C5408002CA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2020-01-14T05:11:00Z</dcterms:created>
  <dc:creator>cuidongshu11@outlook.com</dc:creator>
  <cp:lastModifiedBy>Administrator</cp:lastModifiedBy>
  <dcterms:modified xsi:type="dcterms:W3CDTF">2020-01-15T08:01:57Z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