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3467"/>
        </w:tabs>
        <w:ind w:firstLine="420" w:firstLineChars="0"/>
        <w:jc w:val="center"/>
        <w:outlineLvl w:val="0"/>
        <w:rPr>
          <w:rFonts w:ascii="黑体" w:eastAsia="黑体"/>
          <w:color w:val="000000"/>
          <w:sz w:val="30"/>
          <w:szCs w:val="30"/>
        </w:rPr>
      </w:pPr>
      <w:bookmarkStart w:id="56" w:name="_GoBack"/>
      <w:bookmarkStart w:id="0" w:name="_Hlk38890071"/>
      <w:bookmarkEnd w:id="0"/>
      <w:bookmarkStart w:id="1" w:name="_Toc261214573"/>
      <w:bookmarkStart w:id="2" w:name="_Toc285960399"/>
      <w:bookmarkStart w:id="3" w:name="_Toc285960504"/>
      <w:bookmarkStart w:id="4" w:name="_Toc285960714"/>
      <w:bookmarkStart w:id="5" w:name="_Toc285961894"/>
      <w:bookmarkStart w:id="6" w:name="_Hlk37378129"/>
      <w:r>
        <w:rPr>
          <w:rFonts w:hint="eastAsia" w:ascii="黑体" w:eastAsia="黑体"/>
          <w:color w:val="000000"/>
          <w:sz w:val="30"/>
          <w:szCs w:val="30"/>
        </w:rPr>
        <w:t>2020年6月汽车市场分析报告</w:t>
      </w:r>
      <w:bookmarkEnd w:id="1"/>
      <w:bookmarkEnd w:id="2"/>
      <w:bookmarkEnd w:id="3"/>
      <w:bookmarkEnd w:id="4"/>
      <w:bookmarkEnd w:id="5"/>
    </w:p>
    <w:p>
      <w:pPr>
        <w:ind w:firstLine="420" w:firstLineChars="0"/>
        <w:jc w:val="center"/>
        <w:rPr>
          <w:b/>
          <w:bCs/>
          <w:color w:val="000000"/>
          <w:sz w:val="24"/>
        </w:rPr>
      </w:pPr>
      <w:r>
        <w:rPr>
          <w:rFonts w:hint="eastAsia"/>
          <w:b/>
          <w:bCs/>
          <w:color w:val="000000"/>
          <w:sz w:val="24"/>
        </w:rPr>
        <w:t>崔东树</w:t>
      </w:r>
    </w:p>
    <w:p>
      <w:pPr>
        <w:ind w:firstLine="935" w:firstLineChars="425"/>
        <w:jc w:val="left"/>
        <w:rPr>
          <w:color w:val="000000"/>
          <w:sz w:val="22"/>
          <w:szCs w:val="22"/>
        </w:rPr>
      </w:pPr>
      <w:r>
        <w:rPr>
          <w:rFonts w:hint="eastAsia"/>
          <w:color w:val="000000"/>
          <w:sz w:val="22"/>
          <w:szCs w:val="22"/>
        </w:rPr>
        <w:t>6月乘用车市场零售达到165.4万辆，环比5月的零售增长2.9%，由此实现3-6月的持续4个月零售环比增长。</w:t>
      </w:r>
      <w:r>
        <w:rPr>
          <w:color w:val="000000"/>
          <w:sz w:val="22"/>
          <w:szCs w:val="22"/>
        </w:rPr>
        <w:t>3</w:t>
      </w:r>
      <w:r>
        <w:rPr>
          <w:rFonts w:hint="eastAsia"/>
          <w:color w:val="000000"/>
          <w:sz w:val="22"/>
          <w:szCs w:val="22"/>
        </w:rPr>
        <w:t>月底我们呼吁购置税减半政策，目前看政策利好柴油车和二手车，与前期购置税减半政策形成走势差异。</w:t>
      </w:r>
    </w:p>
    <w:p>
      <w:pPr>
        <w:ind w:firstLine="935" w:firstLineChars="425"/>
        <w:jc w:val="left"/>
        <w:rPr>
          <w:color w:val="000000"/>
          <w:sz w:val="22"/>
          <w:szCs w:val="22"/>
        </w:rPr>
      </w:pPr>
      <w:r>
        <w:rPr>
          <w:rFonts w:hint="eastAsia"/>
          <w:color w:val="000000"/>
          <w:sz w:val="22"/>
          <w:szCs w:val="22"/>
        </w:rPr>
        <w:t>汽车行业形势大好，原因是柴油车和豪华车的恢复较快。但自主品牌6月开始剧烈下滑，6月自主品牌份额3</w:t>
      </w:r>
      <w:r>
        <w:rPr>
          <w:color w:val="000000"/>
          <w:sz w:val="22"/>
          <w:szCs w:val="22"/>
        </w:rPr>
        <w:t>2</w:t>
      </w:r>
      <w:r>
        <w:rPr>
          <w:rFonts w:hint="eastAsia"/>
          <w:color w:val="000000"/>
          <w:sz w:val="22"/>
          <w:szCs w:val="22"/>
        </w:rPr>
        <w:t xml:space="preserve">%创出近年份额新低。自主品牌新能源危急！疫情本不该是淘汰赛，活下去才能在竞争中优胜劣汰！但自主品牌真的很难，自主品牌艰难应该得到社会理解，未来仍需要政策强力支持。 </w:t>
      </w:r>
    </w:p>
    <w:p>
      <w:pPr>
        <w:ind w:firstLine="420" w:firstLineChars="0"/>
        <w:outlineLvl w:val="0"/>
        <w:rPr>
          <w:rFonts w:ascii="黑体" w:eastAsia="黑体"/>
          <w:color w:val="000000"/>
          <w:sz w:val="28"/>
          <w:szCs w:val="28"/>
        </w:rPr>
      </w:pPr>
      <w:bookmarkStart w:id="7" w:name="_Toc285961895"/>
      <w:bookmarkStart w:id="8" w:name="_Toc285960505"/>
      <w:bookmarkStart w:id="9" w:name="_Toc285960715"/>
      <w:bookmarkStart w:id="10" w:name="_Toc285960400"/>
      <w:bookmarkStart w:id="11" w:name="_Toc261214574"/>
      <w:r>
        <w:rPr>
          <w:rFonts w:hint="eastAsia" w:ascii="黑体" w:eastAsia="黑体"/>
          <w:color w:val="000000"/>
          <w:sz w:val="28"/>
          <w:szCs w:val="28"/>
        </w:rPr>
        <w:t>一、2020年乘用车</w:t>
      </w:r>
      <w:bookmarkEnd w:id="7"/>
      <w:bookmarkEnd w:id="8"/>
      <w:bookmarkEnd w:id="9"/>
      <w:bookmarkEnd w:id="10"/>
      <w:bookmarkEnd w:id="11"/>
      <w:r>
        <w:rPr>
          <w:rFonts w:hint="eastAsia" w:ascii="黑体" w:eastAsia="黑体"/>
          <w:color w:val="000000"/>
          <w:sz w:val="28"/>
          <w:szCs w:val="28"/>
        </w:rPr>
        <w:t>市场总体走势</w:t>
      </w:r>
    </w:p>
    <w:p>
      <w:pPr>
        <w:numPr>
          <w:ilvl w:val="0"/>
          <w:numId w:val="1"/>
        </w:numPr>
        <w:ind w:left="840" w:leftChars="0"/>
        <w:outlineLvl w:val="1"/>
        <w:rPr>
          <w:rFonts w:ascii="黑体" w:hAnsi="黑体" w:eastAsia="黑体"/>
          <w:bCs/>
          <w:sz w:val="24"/>
        </w:rPr>
      </w:pPr>
      <w:bookmarkStart w:id="12" w:name="_Hlk29901492"/>
      <w:bookmarkStart w:id="13" w:name="_Hlk480119214"/>
      <w:r>
        <w:rPr>
          <w:rFonts w:hint="eastAsia" w:ascii="黑体" w:hAnsi="黑体" w:eastAsia="黑体"/>
          <w:bCs/>
          <w:sz w:val="24"/>
        </w:rPr>
        <w:t>近年狭义乘用车零售走势</w:t>
      </w:r>
    </w:p>
    <w:p>
      <w:pPr>
        <w:widowControl/>
        <w:ind w:firstLine="420" w:firstLineChars="0"/>
        <w:jc w:val="left"/>
      </w:pPr>
      <w:r>
        <w:drawing>
          <wp:inline distT="0" distB="0" distL="0" distR="0">
            <wp:extent cx="4527550" cy="2585085"/>
            <wp:effectExtent l="0" t="0" r="635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533380" cy="2588414"/>
                    </a:xfrm>
                    <a:prstGeom prst="rect">
                      <a:avLst/>
                    </a:prstGeom>
                    <a:noFill/>
                  </pic:spPr>
                </pic:pic>
              </a:graphicData>
            </a:graphic>
          </wp:inline>
        </w:drawing>
      </w:r>
    </w:p>
    <w:p>
      <w:pPr>
        <w:ind w:firstLine="424" w:firstLineChars="202"/>
        <w:jc w:val="left"/>
        <w:rPr>
          <w:color w:val="000000" w:themeColor="text1"/>
          <w14:textFill>
            <w14:solidFill>
              <w14:schemeClr w14:val="tx1"/>
            </w14:solidFill>
          </w14:textFill>
        </w:rPr>
      </w:pP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月乘用车市场零售达到165.4万辆，环比5月的零售增长2.9%，由此实现3-6月的持续4个月零售环比增长。6月零售同比下降6.2%，但19年6月国五低价甩货导致零售基数偏高是非正常的，因此分析主要看6月环比走强，上半年全国乘用车市场销量的V型走势体现出疫情后的促消费政策引导市场恢复效果良好。</w:t>
      </w:r>
    </w:p>
    <w:p>
      <w:pPr>
        <w:ind w:left="420" w:leftChars="0" w:firstLine="424" w:firstLineChars="202"/>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今年年初疫情以来车市1到6月增速为-20%、-78%、-40%、-3%，2</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%。疫情后回升幅度较强。近期的4</w:t>
      </w:r>
      <w:r>
        <w:rPr>
          <w:rFonts w:ascii="宋体" w:hAnsi="宋体"/>
          <w:color w:val="000000" w:themeColor="text1"/>
          <w14:textFill>
            <w14:solidFill>
              <w14:schemeClr w14:val="tx1"/>
            </w14:solidFill>
          </w14:textFill>
        </w:rPr>
        <w:t>-6月的</w:t>
      </w:r>
      <w:r>
        <w:rPr>
          <w:rFonts w:hint="eastAsia" w:ascii="宋体" w:hAnsi="宋体"/>
          <w:color w:val="000000" w:themeColor="text1"/>
          <w14:textFill>
            <w14:solidFill>
              <w14:schemeClr w14:val="tx1"/>
            </w14:solidFill>
          </w14:textFill>
        </w:rPr>
        <w:t>环比</w:t>
      </w:r>
      <w:r>
        <w:rPr>
          <w:rFonts w:ascii="宋体" w:hAnsi="宋体"/>
          <w:color w:val="000000" w:themeColor="text1"/>
          <w14:textFill>
            <w14:solidFill>
              <w14:schemeClr w14:val="tx1"/>
            </w14:solidFill>
          </w14:textFill>
        </w:rPr>
        <w:t>增速</w:t>
      </w:r>
      <w:r>
        <w:rPr>
          <w:rFonts w:hint="eastAsia" w:ascii="宋体" w:hAnsi="宋体"/>
          <w:color w:val="000000" w:themeColor="text1"/>
          <w14:textFill>
            <w14:solidFill>
              <w14:schemeClr w14:val="tx1"/>
            </w14:solidFill>
          </w14:textFill>
        </w:rPr>
        <w:t>企稳，</w:t>
      </w:r>
      <w:r>
        <w:rPr>
          <w:rFonts w:ascii="宋体" w:hAnsi="宋体"/>
          <w:color w:val="000000" w:themeColor="text1"/>
          <w14:textFill>
            <w14:solidFill>
              <w14:schemeClr w14:val="tx1"/>
            </w14:solidFill>
          </w14:textFill>
        </w:rPr>
        <w:t>也就是疫情以来呈现谷底V型回升的良好态势</w:t>
      </w:r>
      <w:r>
        <w:rPr>
          <w:rFonts w:hint="eastAsia" w:ascii="宋体" w:hAnsi="宋体"/>
          <w:color w:val="000000" w:themeColor="text1"/>
          <w14:textFill>
            <w14:solidFill>
              <w14:schemeClr w14:val="tx1"/>
            </w14:solidFill>
          </w14:textFill>
        </w:rPr>
        <w:t>得以确认</w:t>
      </w:r>
      <w:r>
        <w:rPr>
          <w:rFonts w:ascii="宋体" w:hAnsi="宋体"/>
          <w:color w:val="000000" w:themeColor="text1"/>
          <w14:textFill>
            <w14:solidFill>
              <w14:schemeClr w14:val="tx1"/>
            </w14:solidFill>
          </w14:textFill>
        </w:rPr>
        <w:t>。</w:t>
      </w:r>
    </w:p>
    <w:p>
      <w:pPr>
        <w:ind w:left="420" w:leftChars="0" w:firstLine="424" w:firstLineChars="202"/>
        <w:jc w:val="left"/>
        <w:rPr>
          <w:color w:val="000000" w:themeColor="text1"/>
          <w14:textFill>
            <w14:solidFill>
              <w14:schemeClr w14:val="tx1"/>
            </w14:solidFill>
          </w14:textFill>
        </w:rPr>
      </w:pPr>
      <w:r>
        <w:rPr>
          <w:rFonts w:hint="eastAsia"/>
        </w:rPr>
        <w:drawing>
          <wp:inline distT="0" distB="0" distL="0" distR="0">
            <wp:extent cx="3695700" cy="21272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695700" cy="2127250"/>
                    </a:xfrm>
                    <a:prstGeom prst="rect">
                      <a:avLst/>
                    </a:prstGeom>
                    <a:noFill/>
                    <a:ln>
                      <a:noFill/>
                    </a:ln>
                  </pic:spPr>
                </pic:pic>
              </a:graphicData>
            </a:graphic>
          </wp:inline>
        </w:drawing>
      </w:r>
    </w:p>
    <w:p>
      <w:pPr>
        <w:ind w:firstLine="424" w:firstLineChars="202"/>
        <w:jc w:val="left"/>
        <w:rPr>
          <w:color w:val="000000" w:themeColor="text1"/>
          <w14:textFill>
            <w14:solidFill>
              <w14:schemeClr w14:val="tx1"/>
            </w14:solidFill>
          </w14:textFill>
        </w:rPr>
      </w:pPr>
    </w:p>
    <w:p>
      <w:pPr>
        <w:ind w:left="420" w:leftChars="0" w:firstLine="424" w:firstLineChars="202"/>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20年1-6月的全国乘用车市场累计零售770万</w:t>
      </w:r>
      <w:r>
        <w:rPr>
          <w:rFonts w:hint="eastAsia" w:ascii="宋体" w:hAnsi="宋体"/>
          <w:color w:val="000000" w:themeColor="text1"/>
          <w14:textFill>
            <w14:solidFill>
              <w14:schemeClr w14:val="tx1"/>
            </w14:solidFill>
          </w14:textFill>
        </w:rPr>
        <w:t>辆</w:t>
      </w:r>
      <w:r>
        <w:rPr>
          <w:rFonts w:ascii="宋体" w:hAnsi="宋体"/>
          <w:color w:val="000000" w:themeColor="text1"/>
          <w14:textFill>
            <w14:solidFill>
              <w14:schemeClr w14:val="tx1"/>
            </w14:solidFill>
          </w14:textFill>
        </w:rPr>
        <w:t>，零售同比累计下降23%，今年累计销量同比</w:t>
      </w:r>
      <w:r>
        <w:rPr>
          <w:rFonts w:hint="eastAsia" w:ascii="宋体" w:hAnsi="宋体"/>
          <w:color w:val="000000" w:themeColor="text1"/>
          <w14:textFill>
            <w14:solidFill>
              <w14:schemeClr w14:val="tx1"/>
            </w14:solidFill>
          </w14:textFill>
        </w:rPr>
        <w:t>净减</w:t>
      </w:r>
      <w:r>
        <w:rPr>
          <w:rFonts w:ascii="宋体" w:hAnsi="宋体"/>
          <w:color w:val="000000" w:themeColor="text1"/>
          <w14:textFill>
            <w14:solidFill>
              <w14:schemeClr w14:val="tx1"/>
            </w14:solidFill>
          </w14:textFill>
        </w:rPr>
        <w:t>224万</w:t>
      </w:r>
      <w:r>
        <w:rPr>
          <w:rFonts w:hint="eastAsia" w:ascii="宋体" w:hAnsi="宋体"/>
          <w:color w:val="000000" w:themeColor="text1"/>
          <w14:textFill>
            <w14:solidFill>
              <w14:schemeClr w14:val="tx1"/>
            </w14:solidFill>
          </w14:textFill>
        </w:rPr>
        <w:t>辆，</w:t>
      </w:r>
      <w:r>
        <w:rPr>
          <w:rFonts w:ascii="宋体" w:hAnsi="宋体"/>
          <w:color w:val="000000" w:themeColor="text1"/>
          <w14:textFill>
            <w14:solidFill>
              <w14:schemeClr w14:val="tx1"/>
            </w14:solidFill>
          </w14:textFill>
        </w:rPr>
        <w:t>约占去年零售</w:t>
      </w:r>
      <w:r>
        <w:rPr>
          <w:rFonts w:hint="eastAsia" w:ascii="宋体" w:hAnsi="宋体"/>
          <w:color w:val="000000" w:themeColor="text1"/>
          <w14:textFill>
            <w14:solidFill>
              <w14:schemeClr w14:val="tx1"/>
            </w14:solidFill>
          </w14:textFill>
        </w:rPr>
        <w:t>总量</w:t>
      </w:r>
      <w:r>
        <w:rPr>
          <w:rFonts w:ascii="宋体" w:hAnsi="宋体"/>
          <w:color w:val="000000" w:themeColor="text1"/>
          <w14:textFill>
            <w14:solidFill>
              <w14:schemeClr w14:val="tx1"/>
            </w14:solidFill>
          </w14:textFill>
        </w:rPr>
        <w:t>11个百分点</w:t>
      </w:r>
      <w:r>
        <w:rPr>
          <w:rFonts w:hint="eastAsia" w:ascii="宋体" w:hAnsi="宋体"/>
          <w:color w:val="000000" w:themeColor="text1"/>
          <w14:textFill>
            <w14:solidFill>
              <w14:schemeClr w14:val="tx1"/>
            </w14:solidFill>
          </w14:textFill>
        </w:rPr>
        <w:t>。今年零售下降</w:t>
      </w:r>
      <w:r>
        <w:rPr>
          <w:rFonts w:ascii="宋体" w:hAnsi="宋体"/>
          <w:color w:val="000000" w:themeColor="text1"/>
          <w14:textFill>
            <w14:solidFill>
              <w14:schemeClr w14:val="tx1"/>
            </w14:solidFill>
          </w14:textFill>
        </w:rPr>
        <w:t>主要是</w:t>
      </w:r>
      <w:r>
        <w:rPr>
          <w:rFonts w:hint="eastAsia" w:ascii="宋体" w:hAnsi="宋体"/>
          <w:color w:val="000000" w:themeColor="text1"/>
          <w14:textFill>
            <w14:solidFill>
              <w14:schemeClr w14:val="tx1"/>
            </w14:solidFill>
          </w14:textFill>
        </w:rPr>
        <w:t>受到</w:t>
      </w:r>
      <w:r>
        <w:rPr>
          <w:rFonts w:ascii="宋体" w:hAnsi="宋体"/>
          <w:color w:val="000000" w:themeColor="text1"/>
          <w14:textFill>
            <w14:solidFill>
              <w14:schemeClr w14:val="tx1"/>
            </w14:solidFill>
          </w14:textFill>
        </w:rPr>
        <w:t>春节偏早和疫情因素</w:t>
      </w:r>
      <w:r>
        <w:rPr>
          <w:rFonts w:hint="eastAsia" w:ascii="宋体" w:hAnsi="宋体"/>
          <w:color w:val="000000" w:themeColor="text1"/>
          <w14:textFill>
            <w14:solidFill>
              <w14:schemeClr w14:val="tx1"/>
            </w14:solidFill>
          </w14:textFill>
        </w:rPr>
        <w:t>的影响，分段看，1</w:t>
      </w:r>
      <w:r>
        <w:rPr>
          <w:rFonts w:ascii="宋体" w:hAnsi="宋体"/>
          <w:color w:val="000000" w:themeColor="text1"/>
          <w14:textFill>
            <w14:solidFill>
              <w14:schemeClr w14:val="tx1"/>
            </w14:solidFill>
          </w14:textFill>
        </w:rPr>
        <w:t>-6月</w:t>
      </w:r>
      <w:r>
        <w:rPr>
          <w:rFonts w:hint="eastAsia" w:ascii="宋体" w:hAnsi="宋体"/>
          <w:color w:val="000000" w:themeColor="text1"/>
          <w14:textFill>
            <w14:solidFill>
              <w14:schemeClr w14:val="tx1"/>
            </w14:solidFill>
          </w14:textFill>
        </w:rPr>
        <w:t>损失</w:t>
      </w:r>
      <w:r>
        <w:rPr>
          <w:rFonts w:ascii="宋体" w:hAnsi="宋体"/>
          <w:color w:val="000000" w:themeColor="text1"/>
          <w14:textFill>
            <w14:solidFill>
              <w14:schemeClr w14:val="tx1"/>
            </w14:solidFill>
          </w14:textFill>
        </w:rPr>
        <w:t>218</w:t>
      </w:r>
      <w:r>
        <w:rPr>
          <w:rFonts w:hint="eastAsia" w:ascii="宋体" w:hAnsi="宋体"/>
          <w:color w:val="000000" w:themeColor="text1"/>
          <w14:textFill>
            <w14:solidFill>
              <w14:schemeClr w14:val="tx1"/>
            </w14:solidFill>
          </w14:textFill>
        </w:rPr>
        <w:t>万辆，5</w:t>
      </w:r>
      <w:r>
        <w:rPr>
          <w:rFonts w:ascii="宋体" w:hAnsi="宋体"/>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月损失只有</w:t>
      </w:r>
      <w:r>
        <w:rPr>
          <w:rFonts w:ascii="宋体" w:hAnsi="宋体"/>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万辆</w:t>
      </w:r>
      <w:r>
        <w:rPr>
          <w:rFonts w:ascii="宋体" w:hAnsi="宋体"/>
          <w:color w:val="000000" w:themeColor="text1"/>
          <w14:textFill>
            <w14:solidFill>
              <w14:schemeClr w14:val="tx1"/>
            </w14:solidFill>
          </w14:textFill>
        </w:rPr>
        <w:t>。</w:t>
      </w:r>
    </w:p>
    <w:p>
      <w:pPr>
        <w:ind w:firstLine="283" w:firstLineChars="135"/>
        <w:rPr>
          <w:rFonts w:ascii="Calibri" w:hAnsi="Calibri"/>
          <w:szCs w:val="21"/>
        </w:rPr>
      </w:pPr>
    </w:p>
    <w:p>
      <w:pPr>
        <w:numPr>
          <w:ilvl w:val="0"/>
          <w:numId w:val="1"/>
        </w:numPr>
        <w:ind w:left="840" w:leftChars="0"/>
        <w:outlineLvl w:val="1"/>
        <w:rPr>
          <w:rFonts w:ascii="黑体" w:hAnsi="黑体" w:eastAsia="黑体"/>
          <w:bCs/>
          <w:color w:val="FF0000"/>
          <w:sz w:val="24"/>
        </w:rPr>
      </w:pPr>
      <w:r>
        <w:rPr>
          <w:rFonts w:hint="eastAsia" w:ascii="黑体" w:hAnsi="黑体" w:eastAsia="黑体"/>
          <w:bCs/>
          <w:color w:val="FF0000"/>
          <w:sz w:val="24"/>
        </w:rPr>
        <w:t>近年狭义乘用车批发走势。</w:t>
      </w:r>
    </w:p>
    <w:p>
      <w:pPr>
        <w:widowControl/>
        <w:ind w:left="420" w:leftChars="0" w:firstLine="424" w:firstLineChars="202"/>
        <w:jc w:val="left"/>
        <w:rPr>
          <w:rFonts w:ascii="宋体" w:hAnsi="宋体"/>
          <w:color w:val="000000"/>
          <w:kern w:val="0"/>
          <w:szCs w:val="21"/>
        </w:rPr>
      </w:pPr>
      <w:r>
        <w:rPr>
          <w:rFonts w:ascii="宋体" w:hAnsi="宋体"/>
          <w:color w:val="000000"/>
          <w:kern w:val="0"/>
          <w:szCs w:val="21"/>
        </w:rPr>
        <w:drawing>
          <wp:inline distT="0" distB="0" distL="0" distR="0">
            <wp:extent cx="5200650" cy="2849245"/>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19547" cy="2860167"/>
                    </a:xfrm>
                    <a:prstGeom prst="rect">
                      <a:avLst/>
                    </a:prstGeom>
                    <a:noFill/>
                  </pic:spPr>
                </pic:pic>
              </a:graphicData>
            </a:graphic>
          </wp:inline>
        </w:drawing>
      </w:r>
    </w:p>
    <w:p>
      <w:pPr>
        <w:ind w:left="420" w:leftChars="0" w:firstLine="424" w:firstLineChars="202"/>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6月厂家批发销量170.0万辆，同比增长0.9%，环比增长3.7%。这也是持续两个月的批发正增长。6月是上半年结束，部分厂家和经销商都在实施各种强有力的措施促进销量的提升。</w:t>
      </w:r>
    </w:p>
    <w:p>
      <w:pPr>
        <w:widowControl/>
        <w:ind w:left="420" w:leftChars="0" w:firstLine="424" w:firstLineChars="202"/>
        <w:jc w:val="left"/>
        <w:rPr>
          <w:rFonts w:ascii="宋体" w:hAnsi="宋体"/>
          <w:color w:val="000000"/>
          <w:kern w:val="0"/>
          <w:szCs w:val="21"/>
        </w:rPr>
      </w:pPr>
      <w:r>
        <w:rPr>
          <w:rFonts w:hint="eastAsia" w:ascii="宋体" w:hAnsi="宋体"/>
          <w:color w:val="000000"/>
          <w:kern w:val="0"/>
          <w:szCs w:val="21"/>
        </w:rPr>
        <w:t>1</w:t>
      </w:r>
      <w:r>
        <w:rPr>
          <w:rFonts w:ascii="宋体" w:hAnsi="宋体"/>
          <w:color w:val="000000"/>
          <w:kern w:val="0"/>
          <w:szCs w:val="21"/>
        </w:rPr>
        <w:t>9</w:t>
      </w:r>
      <w:r>
        <w:rPr>
          <w:rFonts w:hint="eastAsia" w:ascii="宋体" w:hAnsi="宋体"/>
          <w:color w:val="000000"/>
          <w:kern w:val="0"/>
          <w:szCs w:val="21"/>
        </w:rPr>
        <w:t>年</w:t>
      </w:r>
      <w:r>
        <w:rPr>
          <w:rFonts w:ascii="宋体" w:hAnsi="宋体"/>
          <w:color w:val="000000"/>
          <w:kern w:val="0"/>
          <w:szCs w:val="21"/>
        </w:rPr>
        <w:t>车市的批走势出现</w:t>
      </w:r>
      <w:r>
        <w:rPr>
          <w:rFonts w:hint="eastAsia" w:ascii="宋体" w:hAnsi="宋体"/>
          <w:color w:val="000000"/>
          <w:kern w:val="0"/>
          <w:szCs w:val="21"/>
        </w:rPr>
        <w:t>前高后低</w:t>
      </w:r>
      <w:r>
        <w:rPr>
          <w:rFonts w:ascii="宋体" w:hAnsi="宋体"/>
          <w:color w:val="000000"/>
          <w:kern w:val="0"/>
          <w:szCs w:val="21"/>
        </w:rPr>
        <w:t>趋势</w:t>
      </w:r>
      <w:r>
        <w:rPr>
          <w:rFonts w:hint="eastAsia" w:ascii="宋体" w:hAnsi="宋体"/>
          <w:color w:val="000000"/>
          <w:kern w:val="0"/>
          <w:szCs w:val="21"/>
        </w:rPr>
        <w:t>，对2020年年初压力很大，但今年国六延期实施后的库存增量对批发回稳有促进作用。</w:t>
      </w:r>
    </w:p>
    <w:p>
      <w:pPr>
        <w:widowControl/>
        <w:ind w:left="420" w:leftChars="0" w:firstLine="424" w:firstLineChars="202"/>
        <w:jc w:val="left"/>
        <w:rPr>
          <w:rFonts w:ascii="宋体" w:hAnsi="宋体"/>
          <w:color w:val="000000"/>
          <w:kern w:val="0"/>
          <w:szCs w:val="21"/>
        </w:rPr>
      </w:pPr>
      <w:r>
        <w:drawing>
          <wp:inline distT="0" distB="0" distL="0" distR="0">
            <wp:extent cx="3708400" cy="22479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708400" cy="2247900"/>
                    </a:xfrm>
                    <a:prstGeom prst="rect">
                      <a:avLst/>
                    </a:prstGeom>
                    <a:noFill/>
                    <a:ln>
                      <a:noFill/>
                    </a:ln>
                  </pic:spPr>
                </pic:pic>
              </a:graphicData>
            </a:graphic>
          </wp:inline>
        </w:drawing>
      </w:r>
    </w:p>
    <w:p>
      <w:pPr>
        <w:ind w:left="420" w:leftChars="0" w:firstLine="424" w:firstLineChars="202"/>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1-6月累计批发销量766.0万辆，同比下降22.9%，同比减少了222万辆。。</w:t>
      </w:r>
      <w:r>
        <w:rPr>
          <w:rFonts w:hint="eastAsia" w:ascii="宋体" w:hAnsi="宋体"/>
          <w:color w:val="000000" w:themeColor="text1"/>
          <w14:textFill>
            <w14:solidFill>
              <w14:schemeClr w14:val="tx1"/>
            </w14:solidFill>
          </w14:textFill>
        </w:rPr>
        <w:t>分段看，1</w:t>
      </w:r>
      <w:r>
        <w:rPr>
          <w:rFonts w:ascii="宋体" w:hAnsi="宋体"/>
          <w:color w:val="000000" w:themeColor="text1"/>
          <w14:textFill>
            <w14:solidFill>
              <w14:schemeClr w14:val="tx1"/>
            </w14:solidFill>
          </w14:textFill>
        </w:rPr>
        <w:t>-6月</w:t>
      </w:r>
      <w:r>
        <w:rPr>
          <w:rFonts w:hint="eastAsia" w:ascii="宋体" w:hAnsi="宋体"/>
          <w:color w:val="000000" w:themeColor="text1"/>
          <w14:textFill>
            <w14:solidFill>
              <w14:schemeClr w14:val="tx1"/>
            </w14:solidFill>
          </w14:textFill>
        </w:rPr>
        <w:t>损失</w:t>
      </w:r>
      <w:r>
        <w:rPr>
          <w:rFonts w:ascii="宋体" w:hAnsi="宋体"/>
          <w:color w:val="000000" w:themeColor="text1"/>
          <w14:textFill>
            <w14:solidFill>
              <w14:schemeClr w14:val="tx1"/>
            </w14:solidFill>
          </w14:textFill>
        </w:rPr>
        <w:t>240</w:t>
      </w:r>
      <w:r>
        <w:rPr>
          <w:rFonts w:hint="eastAsia" w:ascii="宋体" w:hAnsi="宋体"/>
          <w:color w:val="000000" w:themeColor="text1"/>
          <w14:textFill>
            <w14:solidFill>
              <w14:schemeClr w14:val="tx1"/>
            </w14:solidFill>
          </w14:textFill>
        </w:rPr>
        <w:t>万辆，5</w:t>
      </w:r>
      <w:r>
        <w:rPr>
          <w:rFonts w:ascii="宋体" w:hAnsi="宋体"/>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月增长1</w:t>
      </w:r>
      <w:r>
        <w:rPr>
          <w:rFonts w:ascii="宋体" w:hAnsi="宋体"/>
          <w:color w:val="000000" w:themeColor="text1"/>
          <w14:textFill>
            <w14:solidFill>
              <w14:schemeClr w14:val="tx1"/>
            </w14:solidFill>
          </w14:textFill>
        </w:rPr>
        <w:t>0</w:t>
      </w:r>
      <w:r>
        <w:rPr>
          <w:rFonts w:hint="eastAsia" w:ascii="宋体" w:hAnsi="宋体"/>
          <w:color w:val="000000" w:themeColor="text1"/>
          <w14:textFill>
            <w14:solidFill>
              <w14:schemeClr w14:val="tx1"/>
            </w14:solidFill>
          </w14:textFill>
        </w:rPr>
        <w:t>万辆</w:t>
      </w:r>
      <w:r>
        <w:rPr>
          <w:rFonts w:ascii="宋体" w:hAnsi="宋体"/>
          <w:color w:val="000000" w:themeColor="text1"/>
          <w14:textFill>
            <w14:solidFill>
              <w14:schemeClr w14:val="tx1"/>
            </w14:solidFill>
          </w14:textFill>
        </w:rPr>
        <w:t>。</w:t>
      </w:r>
    </w:p>
    <w:p>
      <w:pPr>
        <w:ind w:firstLine="424" w:firstLineChars="202"/>
        <w:rPr>
          <w:rFonts w:ascii="宋体" w:hAnsi="宋体"/>
          <w:color w:val="000000" w:themeColor="text1"/>
          <w14:textFill>
            <w14:solidFill>
              <w14:schemeClr w14:val="tx1"/>
            </w14:solidFill>
          </w14:textFill>
        </w:rPr>
      </w:pPr>
    </w:p>
    <w:p>
      <w:pPr>
        <w:numPr>
          <w:ilvl w:val="0"/>
          <w:numId w:val="1"/>
        </w:numPr>
        <w:ind w:left="840" w:leftChars="0"/>
        <w:outlineLvl w:val="1"/>
        <w:rPr>
          <w:rFonts w:ascii="黑体" w:hAnsi="黑体" w:eastAsia="黑体"/>
          <w:bCs/>
          <w:color w:val="FF0000"/>
          <w:sz w:val="24"/>
        </w:rPr>
      </w:pPr>
      <w:r>
        <w:rPr>
          <w:rFonts w:hint="eastAsia" w:ascii="黑体" w:hAnsi="黑体" w:eastAsia="黑体"/>
          <w:bCs/>
          <w:color w:val="FF0000"/>
          <w:sz w:val="24"/>
        </w:rPr>
        <w:t>近年狭义乘用车生产走势。</w:t>
      </w:r>
    </w:p>
    <w:p>
      <w:pPr>
        <w:ind w:firstLine="984" w:firstLineChars="469"/>
        <w:rPr>
          <w:rFonts w:ascii="Calibri" w:hAnsi="Calibri"/>
          <w:szCs w:val="21"/>
        </w:rPr>
      </w:pPr>
      <w:r>
        <w:rPr>
          <w:rFonts w:ascii="Calibri" w:hAnsi="Calibri"/>
          <w:szCs w:val="21"/>
        </w:rPr>
        <w:drawing>
          <wp:inline distT="0" distB="0" distL="0" distR="0">
            <wp:extent cx="4377055" cy="2304415"/>
            <wp:effectExtent l="0" t="0" r="444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402471" cy="2317973"/>
                    </a:xfrm>
                    <a:prstGeom prst="rect">
                      <a:avLst/>
                    </a:prstGeom>
                    <a:noFill/>
                  </pic:spPr>
                </pic:pic>
              </a:graphicData>
            </a:graphic>
          </wp:inline>
        </w:drawing>
      </w:r>
    </w:p>
    <w:p>
      <w:pPr>
        <w:ind w:firstLine="567" w:firstLineChars="270"/>
        <w:rPr>
          <w:rFonts w:ascii="Calibri" w:hAnsi="Calibri"/>
          <w:szCs w:val="21"/>
        </w:rPr>
      </w:pP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6月乘用车生产174.0万辆，同比增长13.1%； 6月豪华车生产同比增长37%，目前欧洲汽车零部件的供应链逐步复产，供应链断链风险基本消除。。</w:t>
      </w:r>
    </w:p>
    <w:p>
      <w:pPr>
        <w:ind w:left="420" w:leftChars="0" w:firstLine="424" w:firstLineChars="202"/>
        <w:jc w:val="left"/>
        <w:rPr>
          <w:rFonts w:ascii="Calibri" w:hAnsi="Calibri"/>
          <w:szCs w:val="21"/>
        </w:rPr>
      </w:pPr>
      <w:r>
        <w:rPr>
          <w:rFonts w:hint="eastAsia" w:ascii="Calibri" w:hAnsi="Calibri"/>
          <w:szCs w:val="21"/>
        </w:rPr>
        <w:t>目前海外的零部件供应链风险备受重视，各厂家逐步提升零部件库存和整车库存，应对供需波动风险的能力提升。</w:t>
      </w:r>
    </w:p>
    <w:p>
      <w:pPr>
        <w:ind w:left="420" w:leftChars="0" w:firstLine="424" w:firstLineChars="202"/>
        <w:jc w:val="left"/>
        <w:rPr>
          <w:color w:val="000000" w:themeColor="text1"/>
          <w14:textFill>
            <w14:solidFill>
              <w14:schemeClr w14:val="tx1"/>
            </w14:solidFill>
          </w14:textFill>
        </w:rPr>
      </w:pPr>
      <w:r>
        <w:rPr>
          <w:rFonts w:hint="eastAsia"/>
        </w:rPr>
        <w:drawing>
          <wp:inline distT="0" distB="0" distL="0" distR="0">
            <wp:extent cx="4387850" cy="22479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87850" cy="2247900"/>
                    </a:xfrm>
                    <a:prstGeom prst="rect">
                      <a:avLst/>
                    </a:prstGeom>
                    <a:noFill/>
                    <a:ln>
                      <a:noFill/>
                    </a:ln>
                  </pic:spPr>
                </pic:pic>
              </a:graphicData>
            </a:graphic>
          </wp:inline>
        </w:drawing>
      </w:r>
      <w:r>
        <w:rPr>
          <w:rFonts w:hint="eastAsia"/>
          <w:color w:val="000000" w:themeColor="text1"/>
          <w14:textFill>
            <w14:solidFill>
              <w14:schemeClr w14:val="tx1"/>
            </w14:solidFill>
          </w14:textFill>
        </w:rPr>
        <w:t>。</w:t>
      </w: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1-6月累计生产745.9万辆，同比下降23.1%，产量减少230万辆。分段看，1</w:t>
      </w:r>
      <w:r>
        <w:rPr>
          <w:rFonts w:ascii="宋体" w:hAnsi="宋体"/>
          <w:color w:val="000000" w:themeColor="text1"/>
          <w14:textFill>
            <w14:solidFill>
              <w14:schemeClr w14:val="tx1"/>
            </w14:solidFill>
          </w14:textFill>
        </w:rPr>
        <w:t>-6月</w:t>
      </w:r>
      <w:r>
        <w:rPr>
          <w:rFonts w:hint="eastAsia" w:ascii="宋体" w:hAnsi="宋体"/>
          <w:color w:val="000000" w:themeColor="text1"/>
          <w14:textFill>
            <w14:solidFill>
              <w14:schemeClr w14:val="tx1"/>
            </w14:solidFill>
          </w14:textFill>
        </w:rPr>
        <w:t>损失</w:t>
      </w:r>
      <w:r>
        <w:rPr>
          <w:rFonts w:ascii="宋体" w:hAnsi="宋体"/>
          <w:color w:val="000000" w:themeColor="text1"/>
          <w14:textFill>
            <w14:solidFill>
              <w14:schemeClr w14:val="tx1"/>
            </w14:solidFill>
          </w14:textFill>
        </w:rPr>
        <w:t>240</w:t>
      </w:r>
      <w:r>
        <w:rPr>
          <w:rFonts w:hint="eastAsia" w:ascii="宋体" w:hAnsi="宋体"/>
          <w:color w:val="000000" w:themeColor="text1"/>
          <w14:textFill>
            <w14:solidFill>
              <w14:schemeClr w14:val="tx1"/>
            </w14:solidFill>
          </w14:textFill>
        </w:rPr>
        <w:t>万辆，5</w:t>
      </w:r>
      <w:r>
        <w:rPr>
          <w:rFonts w:ascii="宋体" w:hAnsi="宋体"/>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月增长1</w:t>
      </w:r>
      <w:r>
        <w:rPr>
          <w:rFonts w:ascii="宋体" w:hAnsi="宋体"/>
          <w:color w:val="000000" w:themeColor="text1"/>
          <w14:textFill>
            <w14:solidFill>
              <w14:schemeClr w14:val="tx1"/>
            </w14:solidFill>
          </w14:textFill>
        </w:rPr>
        <w:t>0</w:t>
      </w:r>
      <w:r>
        <w:rPr>
          <w:rFonts w:hint="eastAsia" w:ascii="宋体" w:hAnsi="宋体"/>
          <w:color w:val="000000" w:themeColor="text1"/>
          <w14:textFill>
            <w14:solidFill>
              <w14:schemeClr w14:val="tx1"/>
            </w14:solidFill>
          </w14:textFill>
        </w:rPr>
        <w:t>万辆</w:t>
      </w:r>
      <w:r>
        <w:rPr>
          <w:rFonts w:ascii="宋体" w:hAnsi="宋体"/>
          <w:color w:val="000000" w:themeColor="text1"/>
          <w14:textFill>
            <w14:solidFill>
              <w14:schemeClr w14:val="tx1"/>
            </w14:solidFill>
          </w14:textFill>
        </w:rPr>
        <w:t>。</w:t>
      </w:r>
    </w:p>
    <w:p>
      <w:pPr>
        <w:ind w:firstLine="567" w:firstLineChars="270"/>
        <w:rPr>
          <w:rFonts w:ascii="Calibri" w:hAnsi="Calibri"/>
          <w:szCs w:val="21"/>
        </w:rPr>
      </w:pPr>
    </w:p>
    <w:p>
      <w:pPr>
        <w:numPr>
          <w:ilvl w:val="0"/>
          <w:numId w:val="1"/>
        </w:numPr>
        <w:ind w:left="840" w:leftChars="0"/>
        <w:outlineLvl w:val="1"/>
        <w:rPr>
          <w:rFonts w:ascii="黑体" w:hAnsi="黑体" w:eastAsia="黑体"/>
          <w:bCs/>
          <w:sz w:val="24"/>
        </w:rPr>
      </w:pPr>
      <w:r>
        <w:rPr>
          <w:rFonts w:hint="eastAsia" w:ascii="黑体" w:hAnsi="黑体" w:eastAsia="黑体"/>
          <w:bCs/>
          <w:sz w:val="24"/>
        </w:rPr>
        <w:t>产销库存月度变化特征</w:t>
      </w:r>
    </w:p>
    <w:p>
      <w:pPr>
        <w:ind w:firstLine="699" w:firstLineChars="333"/>
      </w:pPr>
      <w:bookmarkStart w:id="14" w:name="_Hlk43048795"/>
      <w:r>
        <w:drawing>
          <wp:inline distT="0" distB="0" distL="0" distR="0">
            <wp:extent cx="5486400" cy="4394200"/>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486400" cy="4394200"/>
                    </a:xfrm>
                    <a:prstGeom prst="rect">
                      <a:avLst/>
                    </a:prstGeom>
                    <a:noFill/>
                    <a:ln>
                      <a:noFill/>
                    </a:ln>
                  </pic:spPr>
                </pic:pic>
              </a:graphicData>
            </a:graphic>
          </wp:inline>
        </w:drawing>
      </w: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6月厂家库存增加了3.9万辆， 6月国五生产截止前的生产增长不大，日系品牌生产表现出色。6月的渠道库存相对增加0.7万辆，4-6月的经销商库存持续小幅补充。。</w:t>
      </w:r>
    </w:p>
    <w:p>
      <w:pPr>
        <w:ind w:left="420" w:leftChars="0" w:firstLine="422" w:firstLineChars="201"/>
        <w:rPr>
          <w:color w:val="000000" w:themeColor="text1"/>
          <w14:textFill>
            <w14:solidFill>
              <w14:schemeClr w14:val="tx1"/>
            </w14:solidFill>
          </w14:textFill>
        </w:rPr>
      </w:pPr>
      <w:r>
        <w:rPr>
          <w:rFonts w:hint="eastAsia"/>
          <w:color w:val="000000" w:themeColor="text1"/>
          <w14:textFill>
            <w14:solidFill>
              <w14:schemeClr w14:val="tx1"/>
            </w14:solidFill>
          </w14:textFill>
        </w:rPr>
        <w:t>由于1-</w:t>
      </w:r>
      <w:r>
        <w:rPr>
          <w:color w:val="000000" w:themeColor="text1"/>
          <w14:textFill>
            <w14:solidFill>
              <w14:schemeClr w14:val="tx1"/>
            </w14:solidFill>
          </w14:textFill>
        </w:rPr>
        <w:t>6月</w:t>
      </w:r>
      <w:r>
        <w:rPr>
          <w:rFonts w:hint="eastAsia"/>
          <w:color w:val="000000" w:themeColor="text1"/>
          <w14:textFill>
            <w14:solidFill>
              <w14:schemeClr w14:val="tx1"/>
            </w14:solidFill>
          </w14:textFill>
        </w:rPr>
        <w:t>的经销商库存相对偏低，各厂家努力把疫情造成的损失弥补回来，复产复工效果突出，因此终端库存合理回补。</w:t>
      </w:r>
    </w:p>
    <w:bookmarkEnd w:id="14"/>
    <w:p>
      <w:pPr>
        <w:ind w:firstLine="422" w:firstLineChars="201"/>
        <w:rPr>
          <w:rFonts w:ascii="宋体" w:hAnsi="宋体" w:eastAsiaTheme="minorEastAsia" w:cstheme="minorBidi"/>
          <w:bCs/>
          <w:color w:val="000000"/>
          <w:szCs w:val="21"/>
        </w:rPr>
      </w:pPr>
    </w:p>
    <w:p>
      <w:pPr>
        <w:numPr>
          <w:ilvl w:val="0"/>
          <w:numId w:val="1"/>
        </w:numPr>
        <w:ind w:left="840" w:leftChars="0"/>
        <w:outlineLvl w:val="1"/>
        <w:rPr>
          <w:rFonts w:ascii="黑体" w:hAnsi="黑体" w:eastAsia="黑体"/>
          <w:bCs/>
          <w:sz w:val="24"/>
        </w:rPr>
      </w:pPr>
      <w:r>
        <w:rPr>
          <w:rFonts w:hint="eastAsia" w:ascii="黑体" w:hAnsi="黑体" w:eastAsia="黑体"/>
          <w:bCs/>
          <w:sz w:val="24"/>
        </w:rPr>
        <w:t>狭义乘用车价格走势特征</w:t>
      </w:r>
    </w:p>
    <w:p>
      <w:pPr>
        <w:ind w:left="420" w:leftChars="0" w:firstLine="422" w:firstLineChars="201"/>
        <w:rPr>
          <w:rFonts w:ascii="宋体" w:hAnsi="宋体" w:eastAsiaTheme="minorEastAsia" w:cstheme="minorBidi"/>
          <w:bCs/>
          <w:color w:val="000000"/>
          <w:szCs w:val="21"/>
        </w:rPr>
      </w:pPr>
      <w:r>
        <w:rPr>
          <w:rFonts w:ascii="宋体" w:hAnsi="宋体" w:eastAsiaTheme="minorEastAsia" w:cstheme="minorBidi"/>
          <w:bCs/>
          <w:color w:val="000000"/>
          <w:szCs w:val="21"/>
        </w:rPr>
        <w:drawing>
          <wp:inline distT="0" distB="0" distL="0" distR="0">
            <wp:extent cx="4737100" cy="3291840"/>
            <wp:effectExtent l="0" t="0" r="635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37100" cy="3291840"/>
                    </a:xfrm>
                    <a:prstGeom prst="rect">
                      <a:avLst/>
                    </a:prstGeom>
                    <a:noFill/>
                  </pic:spPr>
                </pic:pic>
              </a:graphicData>
            </a:graphic>
          </wp:inline>
        </w:drawing>
      </w:r>
    </w:p>
    <w:p>
      <w:pPr>
        <w:ind w:firstLine="422" w:firstLineChars="201"/>
        <w:rPr>
          <w:rFonts w:ascii="宋体" w:hAnsi="宋体" w:eastAsiaTheme="minorEastAsia" w:cstheme="minorBidi"/>
          <w:bCs/>
          <w:color w:val="000000"/>
          <w:szCs w:val="21"/>
        </w:rPr>
      </w:pPr>
    </w:p>
    <w:p>
      <w:pPr>
        <w:ind w:left="420" w:leftChars="0" w:firstLine="422" w:firstLineChars="201"/>
        <w:rPr>
          <w:rFonts w:ascii="宋体" w:hAnsi="宋体" w:eastAsiaTheme="minorEastAsia" w:cstheme="minorBidi"/>
          <w:bCs/>
          <w:color w:val="000000"/>
          <w:szCs w:val="21"/>
        </w:rPr>
      </w:pPr>
      <w:r>
        <w:rPr>
          <w:rFonts w:hint="eastAsia" w:ascii="宋体" w:hAnsi="宋体" w:eastAsiaTheme="minorEastAsia" w:cstheme="minorBidi"/>
          <w:bCs/>
          <w:color w:val="000000"/>
          <w:szCs w:val="21"/>
        </w:rPr>
        <w:t>2020年长城市场价格走势总体平稳，整个车市价格没有出现明显的增大和缩小的情况。</w:t>
      </w:r>
      <w:r>
        <w:rPr>
          <w:rFonts w:ascii="宋体" w:hAnsi="宋体" w:eastAsiaTheme="minorEastAsia" w:cstheme="minorBidi"/>
          <w:bCs/>
          <w:color w:val="000000"/>
          <w:szCs w:val="21"/>
        </w:rPr>
        <w:t>1-2</w:t>
      </w:r>
      <w:r>
        <w:rPr>
          <w:rFonts w:hint="eastAsia" w:ascii="宋体" w:hAnsi="宋体" w:eastAsiaTheme="minorEastAsia" w:cstheme="minorBidi"/>
          <w:bCs/>
          <w:color w:val="000000"/>
          <w:szCs w:val="21"/>
        </w:rPr>
        <w:t>月度整个车市处于在疫情下的冰封状态，3</w:t>
      </w:r>
      <w:r>
        <w:rPr>
          <w:rFonts w:ascii="宋体" w:hAnsi="宋体" w:eastAsiaTheme="minorEastAsia" w:cstheme="minorBidi"/>
          <w:bCs/>
          <w:color w:val="000000"/>
          <w:szCs w:val="21"/>
        </w:rPr>
        <w:t>-6</w:t>
      </w:r>
      <w:r>
        <w:rPr>
          <w:rFonts w:hint="eastAsia" w:ascii="宋体" w:hAnsi="宋体" w:eastAsiaTheme="minorEastAsia" w:cstheme="minorBidi"/>
          <w:bCs/>
          <w:color w:val="000000"/>
          <w:szCs w:val="21"/>
        </w:rPr>
        <w:t>月冰封之后恢复市场，持续保持原有运行特征走势，既没有爆发式的促销增长，也没有供不应求的促销大幅收缩。</w:t>
      </w:r>
    </w:p>
    <w:p>
      <w:pPr>
        <w:ind w:firstLine="422" w:firstLineChars="201"/>
        <w:rPr>
          <w:rFonts w:ascii="宋体" w:hAnsi="宋体" w:eastAsiaTheme="minorEastAsia" w:cstheme="minorBidi"/>
          <w:bCs/>
          <w:color w:val="000000"/>
          <w:szCs w:val="21"/>
        </w:rPr>
      </w:pPr>
    </w:p>
    <w:p>
      <w:pPr>
        <w:numPr>
          <w:ilvl w:val="0"/>
          <w:numId w:val="1"/>
        </w:numPr>
        <w:ind w:left="840" w:leftChars="0"/>
        <w:outlineLvl w:val="1"/>
        <w:rPr>
          <w:rFonts w:ascii="黑体" w:hAnsi="黑体" w:eastAsia="黑体"/>
          <w:bCs/>
          <w:sz w:val="24"/>
        </w:rPr>
      </w:pPr>
      <w:r>
        <w:rPr>
          <w:rFonts w:hint="eastAsia" w:ascii="黑体" w:hAnsi="黑体" w:eastAsia="黑体"/>
          <w:bCs/>
          <w:sz w:val="24"/>
        </w:rPr>
        <w:t>狭义乘用车各级别增长特征</w:t>
      </w:r>
    </w:p>
    <w:p>
      <w:pPr>
        <w:widowControl/>
        <w:ind w:left="420" w:leftChars="0" w:firstLine="422" w:firstLineChars="201"/>
        <w:jc w:val="left"/>
        <w:rPr>
          <w:rFonts w:ascii="宋体" w:hAnsi="宋体"/>
          <w:kern w:val="0"/>
          <w:szCs w:val="21"/>
        </w:rPr>
      </w:pPr>
      <w:bookmarkStart w:id="15" w:name="_Hlk43050758"/>
      <w:r>
        <w:drawing>
          <wp:inline distT="0" distB="0" distL="0" distR="0">
            <wp:extent cx="5562600" cy="34226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562600" cy="3422650"/>
                    </a:xfrm>
                    <a:prstGeom prst="rect">
                      <a:avLst/>
                    </a:prstGeom>
                    <a:noFill/>
                    <a:ln>
                      <a:noFill/>
                    </a:ln>
                  </pic:spPr>
                </pic:pic>
              </a:graphicData>
            </a:graphic>
          </wp:inline>
        </w:drawing>
      </w:r>
    </w:p>
    <w:p>
      <w:pPr>
        <w:ind w:firstLine="785" w:firstLineChars="374"/>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6月SUV零售同比增长</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%，其中B级SUV同比去年6月增</w:t>
      </w:r>
      <w:r>
        <w:rPr>
          <w:color w:val="000000" w:themeColor="text1"/>
          <w14:textFill>
            <w14:solidFill>
              <w14:schemeClr w14:val="tx1"/>
            </w14:solidFill>
          </w14:textFill>
        </w:rPr>
        <w:t>22</w:t>
      </w:r>
      <w:r>
        <w:rPr>
          <w:rFonts w:hint="eastAsia"/>
          <w:color w:val="000000" w:themeColor="text1"/>
          <w14:textFill>
            <w14:solidFill>
              <w14:schemeClr w14:val="tx1"/>
            </w14:solidFill>
          </w14:textFill>
        </w:rPr>
        <w:t>%，A级SUV同比去年6月增</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%，大众等合资SUV较强，自主的长安、长城等SUV表现突出。</w:t>
      </w:r>
    </w:p>
    <w:bookmarkEnd w:id="15"/>
    <w:p>
      <w:pPr>
        <w:numPr>
          <w:ilvl w:val="0"/>
          <w:numId w:val="1"/>
        </w:numPr>
        <w:ind w:left="840" w:leftChars="0"/>
        <w:outlineLvl w:val="1"/>
        <w:rPr>
          <w:rFonts w:ascii="黑体" w:hAnsi="黑体" w:eastAsia="黑体"/>
          <w:bCs/>
          <w:sz w:val="24"/>
        </w:rPr>
      </w:pPr>
      <w:r>
        <w:rPr>
          <w:rFonts w:hint="eastAsia" w:ascii="黑体" w:hAnsi="黑体" w:eastAsia="黑体"/>
          <w:bCs/>
          <w:sz w:val="24"/>
        </w:rPr>
        <w:t>狭义乘用车国别增长特征</w:t>
      </w:r>
    </w:p>
    <w:p>
      <w:pPr>
        <w:widowControl/>
        <w:ind w:left="420" w:leftChars="0" w:firstLine="422" w:firstLineChars="201"/>
        <w:jc w:val="left"/>
        <w:rPr>
          <w:rFonts w:ascii="宋体" w:hAnsi="宋体"/>
          <w:kern w:val="0"/>
          <w:szCs w:val="21"/>
        </w:rPr>
      </w:pPr>
      <w:bookmarkStart w:id="16" w:name="_Hlk43048810"/>
      <w:r>
        <w:drawing>
          <wp:inline distT="0" distB="0" distL="0" distR="0">
            <wp:extent cx="5448300" cy="334645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448300" cy="3346450"/>
                    </a:xfrm>
                    <a:prstGeom prst="rect">
                      <a:avLst/>
                    </a:prstGeom>
                    <a:noFill/>
                    <a:ln>
                      <a:noFill/>
                    </a:ln>
                  </pic:spPr>
                </pic:pic>
              </a:graphicData>
            </a:graphic>
          </wp:inline>
        </w:drawing>
      </w:r>
    </w:p>
    <w:p>
      <w:pPr>
        <w:ind w:firstLine="785" w:firstLineChars="374"/>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6月零售同比下降7%，。合资各车系表现分化，日系批发表现优秀。零售看的日系、美系、德系表现较强。</w:t>
      </w:r>
    </w:p>
    <w:bookmarkEnd w:id="16"/>
    <w:p>
      <w:pPr>
        <w:widowControl/>
        <w:ind w:left="420" w:leftChars="0" w:firstLine="422" w:firstLineChars="201"/>
        <w:jc w:val="left"/>
        <w:rPr>
          <w:rFonts w:ascii="宋体" w:hAnsi="宋体"/>
          <w:kern w:val="0"/>
          <w:szCs w:val="21"/>
        </w:rPr>
      </w:pPr>
      <w:r>
        <w:rPr>
          <w:rFonts w:hint="eastAsia" w:ascii="宋体" w:hAnsi="宋体"/>
          <w:kern w:val="0"/>
          <w:szCs w:val="21"/>
        </w:rPr>
        <w:t>6月日系品牌零售份额25.9%，低于德系品牌的27%；但日系批发份额达到26.4%，高于德系的25.9%，日系主力品牌全面走强。</w:t>
      </w:r>
    </w:p>
    <w:p>
      <w:pPr>
        <w:numPr>
          <w:ilvl w:val="0"/>
          <w:numId w:val="1"/>
        </w:numPr>
        <w:ind w:left="840" w:leftChars="0"/>
        <w:outlineLvl w:val="1"/>
        <w:rPr>
          <w:rFonts w:ascii="黑体" w:hAnsi="黑体" w:eastAsia="黑体"/>
          <w:bCs/>
          <w:sz w:val="24"/>
        </w:rPr>
      </w:pPr>
      <w:bookmarkStart w:id="17" w:name="_Hlk35115339"/>
      <w:r>
        <w:rPr>
          <w:rFonts w:hint="eastAsia" w:ascii="黑体" w:hAnsi="黑体" w:eastAsia="黑体"/>
          <w:bCs/>
          <w:sz w:val="24"/>
        </w:rPr>
        <w:t>疫情不是打垮自主的工具</w:t>
      </w:r>
    </w:p>
    <w:p>
      <w:pPr>
        <w:ind w:firstLine="699" w:firstLineChars="333"/>
      </w:pPr>
      <w:r>
        <w:drawing>
          <wp:inline distT="0" distB="0" distL="0" distR="0">
            <wp:extent cx="7114540" cy="35179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7114540" cy="3517900"/>
                    </a:xfrm>
                    <a:prstGeom prst="rect">
                      <a:avLst/>
                    </a:prstGeom>
                    <a:noFill/>
                  </pic:spPr>
                </pic:pic>
              </a:graphicData>
            </a:graphic>
          </wp:inline>
        </w:drawing>
      </w:r>
    </w:p>
    <w:p>
      <w:pPr>
        <w:ind w:firstLine="699" w:firstLineChars="333"/>
        <w:rPr>
          <w:rFonts w:ascii="Calibri" w:hAnsi="Calibri" w:cs="Arial"/>
          <w:szCs w:val="22"/>
        </w:rPr>
      </w:pPr>
      <w:r>
        <w:rPr>
          <w:rFonts w:hint="eastAsia" w:ascii="Calibri" w:hAnsi="Calibri" w:cs="Arial"/>
          <w:szCs w:val="22"/>
        </w:rPr>
        <w:t>每次出现市场下滑后，都是自主品牌率先反弹，自主也是0</w:t>
      </w:r>
      <w:r>
        <w:rPr>
          <w:rFonts w:ascii="Calibri" w:hAnsi="Calibri" w:cs="Arial"/>
          <w:szCs w:val="22"/>
        </w:rPr>
        <w:t>9</w:t>
      </w:r>
      <w:r>
        <w:rPr>
          <w:rFonts w:hint="eastAsia" w:ascii="Calibri" w:hAnsi="Calibri" w:cs="Arial"/>
          <w:szCs w:val="22"/>
        </w:rPr>
        <w:t>年、1</w:t>
      </w:r>
      <w:r>
        <w:rPr>
          <w:rFonts w:ascii="Calibri" w:hAnsi="Calibri" w:cs="Arial"/>
          <w:szCs w:val="22"/>
        </w:rPr>
        <w:t>6</w:t>
      </w:r>
      <w:r>
        <w:rPr>
          <w:rFonts w:hint="eastAsia" w:ascii="Calibri" w:hAnsi="Calibri" w:cs="Arial"/>
          <w:szCs w:val="22"/>
        </w:rPr>
        <w:t>年表现祖强的，但这次疫情后自主品牌陷入低迷。</w:t>
      </w:r>
    </w:p>
    <w:p>
      <w:pPr>
        <w:ind w:firstLine="699" w:firstLineChars="333"/>
        <w:rPr>
          <w:rFonts w:ascii="Calibri" w:hAnsi="Calibri" w:cs="Arial"/>
          <w:szCs w:val="22"/>
        </w:rPr>
      </w:pPr>
      <w:r>
        <w:rPr>
          <w:rFonts w:hint="eastAsia" w:ascii="Calibri" w:hAnsi="Calibri" w:cs="Arial"/>
          <w:szCs w:val="22"/>
        </w:rPr>
        <w:t>6月主力自主厂家零售表现较强。但分化严重，疫情不是淘汰赛，不能通过疫情把自主打垮。</w:t>
      </w:r>
    </w:p>
    <w:p>
      <w:pPr>
        <w:ind w:firstLine="699" w:firstLineChars="333"/>
        <w:rPr>
          <w:rFonts w:ascii="Calibri" w:hAnsi="Calibri" w:cs="Arial"/>
          <w:szCs w:val="22"/>
        </w:rPr>
      </w:pPr>
      <w:r>
        <w:rPr>
          <w:rFonts w:ascii="Calibri" w:hAnsi="Calibri" w:cs="Arial"/>
          <w:szCs w:val="22"/>
        </w:rPr>
        <w:drawing>
          <wp:inline distT="0" distB="0" distL="0" distR="0">
            <wp:extent cx="6651625" cy="32981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651625" cy="3298190"/>
                    </a:xfrm>
                    <a:prstGeom prst="rect">
                      <a:avLst/>
                    </a:prstGeom>
                    <a:noFill/>
                  </pic:spPr>
                </pic:pic>
              </a:graphicData>
            </a:graphic>
          </wp:inline>
        </w:drawing>
      </w:r>
    </w:p>
    <w:p>
      <w:pPr>
        <w:ind w:firstLine="699" w:firstLineChars="333"/>
        <w:rPr>
          <w:rFonts w:ascii="Calibri" w:hAnsi="Calibri" w:cs="Arial"/>
          <w:szCs w:val="22"/>
        </w:rPr>
      </w:pPr>
      <w:r>
        <w:rPr>
          <w:rFonts w:hint="eastAsia" w:ascii="Calibri" w:hAnsi="Calibri" w:cs="Arial"/>
          <w:szCs w:val="22"/>
        </w:rPr>
        <w:t>20</w:t>
      </w:r>
      <w:r>
        <w:rPr>
          <w:rFonts w:ascii="Calibri" w:hAnsi="Calibri" w:cs="Arial"/>
          <w:szCs w:val="22"/>
        </w:rPr>
        <w:t>20</w:t>
      </w:r>
      <w:r>
        <w:rPr>
          <w:rFonts w:hint="eastAsia" w:ascii="Calibri" w:hAnsi="Calibri" w:cs="Arial"/>
          <w:szCs w:val="22"/>
        </w:rPr>
        <w:t>年6月份自主品牌份额</w:t>
      </w:r>
      <w:r>
        <w:rPr>
          <w:rFonts w:ascii="Calibri" w:hAnsi="Calibri" w:cs="Arial"/>
          <w:szCs w:val="22"/>
        </w:rPr>
        <w:t>32</w:t>
      </w:r>
      <w:r>
        <w:rPr>
          <w:rFonts w:hint="eastAsia" w:ascii="Calibri" w:hAnsi="Calibri" w:cs="Arial"/>
          <w:szCs w:val="22"/>
        </w:rPr>
        <w:t>%，较前几年的份额下降较大，份额重归谷底，最差水平。自18年</w:t>
      </w:r>
      <w:r>
        <w:rPr>
          <w:rFonts w:ascii="Calibri" w:hAnsi="Calibri" w:cs="Arial"/>
          <w:szCs w:val="22"/>
        </w:rPr>
        <w:t>6月</w:t>
      </w:r>
      <w:r>
        <w:rPr>
          <w:rFonts w:hint="eastAsia" w:ascii="Calibri" w:hAnsi="Calibri" w:cs="Arial"/>
          <w:szCs w:val="22"/>
        </w:rPr>
        <w:t>以来，连续</w:t>
      </w:r>
      <w:r>
        <w:rPr>
          <w:rFonts w:ascii="Calibri" w:hAnsi="Calibri" w:cs="Arial"/>
          <w:szCs w:val="22"/>
        </w:rPr>
        <w:t>20</w:t>
      </w:r>
      <w:r>
        <w:rPr>
          <w:rFonts w:hint="eastAsia" w:ascii="Calibri" w:hAnsi="Calibri" w:cs="Arial"/>
          <w:szCs w:val="22"/>
        </w:rPr>
        <w:t>个月的自主品牌份额都同比下降较大。19年的全年份额下降速度仍然较大。2</w:t>
      </w:r>
      <w:r>
        <w:rPr>
          <w:rFonts w:ascii="Calibri" w:hAnsi="Calibri" w:cs="Arial"/>
          <w:szCs w:val="22"/>
        </w:rPr>
        <w:t>0</w:t>
      </w:r>
      <w:r>
        <w:rPr>
          <w:rFonts w:hint="eastAsia" w:ascii="Calibri" w:hAnsi="Calibri" w:cs="Arial"/>
          <w:szCs w:val="22"/>
        </w:rPr>
        <w:t>年的疫情下的自主品牌份额2</w:t>
      </w:r>
      <w:r>
        <w:rPr>
          <w:rFonts w:ascii="Calibri" w:hAnsi="Calibri" w:cs="Arial"/>
          <w:szCs w:val="22"/>
        </w:rPr>
        <w:t>-3</w:t>
      </w:r>
      <w:r>
        <w:rPr>
          <w:rFonts w:hint="eastAsia" w:ascii="Calibri" w:hAnsi="Calibri" w:cs="Arial"/>
          <w:szCs w:val="22"/>
        </w:rPr>
        <w:t>月回升。随后下降较大。</w:t>
      </w:r>
    </w:p>
    <w:p>
      <w:pPr>
        <w:ind w:firstLine="699" w:firstLineChars="333"/>
        <w:rPr>
          <w:rFonts w:ascii="Calibri" w:hAnsi="Calibri" w:cs="Arial"/>
          <w:szCs w:val="22"/>
        </w:rPr>
      </w:pPr>
      <w:r>
        <w:rPr>
          <w:rFonts w:hint="eastAsia" w:ascii="Calibri" w:hAnsi="Calibri" w:cs="Arial"/>
          <w:szCs w:val="22"/>
        </w:rPr>
        <w:t>6月开始的救市政策出台，行业利好。自主6月开始剧烈下滑，原因是合资和豪华的恢复较快。</w:t>
      </w:r>
    </w:p>
    <w:bookmarkEnd w:id="17"/>
    <w:p>
      <w:pPr>
        <w:widowControl/>
        <w:ind w:firstLine="422" w:firstLineChars="201"/>
        <w:jc w:val="left"/>
        <w:rPr>
          <w:rFonts w:ascii="宋体" w:hAnsi="宋体"/>
          <w:kern w:val="0"/>
          <w:szCs w:val="21"/>
        </w:rPr>
      </w:pPr>
    </w:p>
    <w:p>
      <w:pPr>
        <w:numPr>
          <w:ilvl w:val="0"/>
          <w:numId w:val="1"/>
        </w:numPr>
        <w:ind w:left="840" w:leftChars="0"/>
        <w:outlineLvl w:val="1"/>
        <w:rPr>
          <w:rFonts w:ascii="黑体" w:hAnsi="黑体" w:eastAsia="黑体"/>
          <w:bCs/>
          <w:sz w:val="24"/>
        </w:rPr>
      </w:pPr>
      <w:r>
        <w:rPr>
          <w:rFonts w:hint="eastAsia" w:ascii="黑体" w:hAnsi="黑体" w:eastAsia="黑体"/>
          <w:bCs/>
          <w:sz w:val="24"/>
        </w:rPr>
        <w:t>2020年</w:t>
      </w:r>
      <w:r>
        <w:rPr>
          <w:rFonts w:ascii="黑体" w:hAnsi="黑体" w:eastAsia="黑体"/>
          <w:bCs/>
          <w:sz w:val="24"/>
        </w:rPr>
        <w:t>6月</w:t>
      </w:r>
      <w:r>
        <w:rPr>
          <w:rFonts w:hint="eastAsia" w:ascii="黑体" w:hAnsi="黑体" w:eastAsia="黑体"/>
          <w:bCs/>
          <w:sz w:val="24"/>
        </w:rPr>
        <w:t>品牌产销特征</w:t>
      </w:r>
    </w:p>
    <w:p>
      <w:pPr>
        <w:widowControl/>
        <w:ind w:left="420" w:leftChars="0" w:firstLine="422" w:firstLineChars="201"/>
        <w:jc w:val="left"/>
        <w:rPr>
          <w:rFonts w:ascii="宋体" w:hAnsi="宋体"/>
          <w:kern w:val="0"/>
          <w:szCs w:val="21"/>
        </w:rPr>
      </w:pPr>
      <w:r>
        <w:drawing>
          <wp:inline distT="0" distB="0" distL="0" distR="0">
            <wp:extent cx="4724400" cy="70167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24400" cy="7016750"/>
                    </a:xfrm>
                    <a:prstGeom prst="rect">
                      <a:avLst/>
                    </a:prstGeom>
                    <a:noFill/>
                    <a:ln>
                      <a:noFill/>
                    </a:ln>
                  </pic:spPr>
                </pic:pic>
              </a:graphicData>
            </a:graphic>
          </wp:inline>
        </w:drawing>
      </w:r>
    </w:p>
    <w:p>
      <w:pPr>
        <w:ind w:left="420" w:leftChars="0" w:firstLine="424" w:firstLineChars="202"/>
        <w:jc w:val="left"/>
        <w:rPr>
          <w:color w:val="000000" w:themeColor="text1"/>
          <w14:textFill>
            <w14:solidFill>
              <w14:schemeClr w14:val="tx1"/>
            </w14:solidFill>
          </w14:textFill>
        </w:rPr>
      </w:pPr>
      <w:r>
        <w:rPr>
          <w:rFonts w:hint="eastAsia" w:ascii="宋体" w:hAnsi="宋体"/>
          <w:kern w:val="0"/>
          <w:szCs w:val="21"/>
        </w:rPr>
        <w:t>车企分化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pPr>
        <w:ind w:left="420" w:leftChars="0" w:firstLine="424" w:firstLineChars="202"/>
        <w:rPr>
          <w:rFonts w:ascii="宋体" w:hAnsi="宋体"/>
          <w:color w:val="000000" w:themeColor="text1"/>
          <w14:textFill>
            <w14:solidFill>
              <w14:schemeClr w14:val="tx1"/>
            </w14:solidFill>
          </w14:textFill>
        </w:rPr>
      </w:pPr>
      <w:bookmarkStart w:id="18" w:name="_Hlk40395985"/>
      <w:r>
        <w:rPr>
          <w:rFonts w:ascii="宋体" w:hAnsi="宋体"/>
          <w:color w:val="000000" w:themeColor="text1"/>
          <w14:textFill>
            <w14:solidFill>
              <w14:schemeClr w14:val="tx1"/>
            </w14:solidFill>
          </w14:textFill>
        </w:rPr>
        <w:t>6月豪华车零售同比增长27%，</w:t>
      </w:r>
      <w:r>
        <w:rPr>
          <w:rFonts w:hint="eastAsia" w:ascii="宋体" w:hAnsi="宋体"/>
          <w:color w:val="000000" w:themeColor="text1"/>
          <w14:textFill>
            <w14:solidFill>
              <w14:schemeClr w14:val="tx1"/>
            </w14:solidFill>
          </w14:textFill>
        </w:rPr>
        <w:t>环比增长9%，市场份额创出1</w:t>
      </w:r>
      <w:r>
        <w:rPr>
          <w:rFonts w:ascii="宋体" w:hAnsi="宋体"/>
          <w:color w:val="000000" w:themeColor="text1"/>
          <w14:textFill>
            <w14:solidFill>
              <w14:schemeClr w14:val="tx1"/>
            </w14:solidFill>
          </w14:textFill>
        </w:rPr>
        <w:t>4.9</w:t>
      </w:r>
      <w:r>
        <w:rPr>
          <w:rFonts w:hint="eastAsia" w:ascii="宋体" w:hAnsi="宋体"/>
          <w:color w:val="000000" w:themeColor="text1"/>
          <w14:textFill>
            <w14:solidFill>
              <w14:schemeClr w14:val="tx1"/>
            </w14:solidFill>
          </w14:textFill>
        </w:rPr>
        <w:t>%的历史新高。</w:t>
      </w:r>
      <w:r>
        <w:rPr>
          <w:rFonts w:ascii="宋体" w:hAnsi="宋体"/>
          <w:color w:val="000000" w:themeColor="text1"/>
          <w14:textFill>
            <w14:solidFill>
              <w14:schemeClr w14:val="tx1"/>
            </w14:solidFill>
          </w14:textFill>
        </w:rPr>
        <w:t>消费升级的高端换购需求</w:t>
      </w:r>
      <w:r>
        <w:rPr>
          <w:rFonts w:hint="eastAsia" w:ascii="宋体" w:hAnsi="宋体"/>
          <w:color w:val="000000" w:themeColor="text1"/>
          <w14:textFill>
            <w14:solidFill>
              <w14:schemeClr w14:val="tx1"/>
            </w14:solidFill>
          </w14:textFill>
        </w:rPr>
        <w:t>和豪华车型促销折扣价格下探，带来的价格优势</w:t>
      </w:r>
      <w:r>
        <w:rPr>
          <w:rFonts w:ascii="宋体" w:hAnsi="宋体"/>
          <w:color w:val="000000" w:themeColor="text1"/>
          <w14:textFill>
            <w14:solidFill>
              <w14:schemeClr w14:val="tx1"/>
            </w14:solidFill>
          </w14:textFill>
        </w:rPr>
        <w:t>迅速</w:t>
      </w:r>
      <w:r>
        <w:rPr>
          <w:rFonts w:hint="eastAsia" w:ascii="宋体" w:hAnsi="宋体"/>
          <w:color w:val="000000" w:themeColor="text1"/>
          <w14:textFill>
            <w14:solidFill>
              <w14:schemeClr w14:val="tx1"/>
            </w14:solidFill>
          </w14:textFill>
        </w:rPr>
        <w:t>引领细分市场</w:t>
      </w:r>
      <w:r>
        <w:rPr>
          <w:rFonts w:ascii="宋体" w:hAnsi="宋体"/>
          <w:color w:val="000000" w:themeColor="text1"/>
          <w14:textFill>
            <w14:solidFill>
              <w14:schemeClr w14:val="tx1"/>
            </w14:solidFill>
          </w14:textFill>
        </w:rPr>
        <w:t>回暖。</w:t>
      </w:r>
      <w:r>
        <w:rPr>
          <w:rFonts w:hint="eastAsia" w:ascii="宋体" w:hAnsi="宋体"/>
          <w:color w:val="000000" w:themeColor="text1"/>
          <w14:textFill>
            <w14:solidFill>
              <w14:schemeClr w14:val="tx1"/>
            </w14:solidFill>
          </w14:textFill>
        </w:rPr>
        <w:t>6月</w:t>
      </w:r>
      <w:r>
        <w:rPr>
          <w:rFonts w:ascii="宋体" w:hAnsi="宋体"/>
          <w:color w:val="000000" w:themeColor="text1"/>
          <w14:textFill>
            <w14:solidFill>
              <w14:schemeClr w14:val="tx1"/>
            </w14:solidFill>
          </w14:textFill>
        </w:rPr>
        <w:t>主流合资品牌</w:t>
      </w:r>
      <w:r>
        <w:rPr>
          <w:rFonts w:hint="eastAsia" w:ascii="宋体" w:hAnsi="宋体"/>
          <w:color w:val="000000" w:themeColor="text1"/>
          <w14:textFill>
            <w14:solidFill>
              <w14:schemeClr w14:val="tx1"/>
            </w14:solidFill>
          </w14:textFill>
        </w:rPr>
        <w:t>零售</w:t>
      </w:r>
      <w:r>
        <w:rPr>
          <w:rFonts w:ascii="宋体" w:hAnsi="宋体"/>
          <w:color w:val="000000" w:themeColor="text1"/>
          <w14:textFill>
            <w14:solidFill>
              <w14:schemeClr w14:val="tx1"/>
            </w14:solidFill>
          </w14:textFill>
        </w:rPr>
        <w:t>同比</w:t>
      </w:r>
      <w:r>
        <w:rPr>
          <w:rFonts w:hint="eastAsia" w:ascii="宋体" w:hAnsi="宋体"/>
          <w:color w:val="000000" w:themeColor="text1"/>
          <w14:textFill>
            <w14:solidFill>
              <w14:schemeClr w14:val="tx1"/>
            </w14:solidFill>
          </w14:textFill>
        </w:rPr>
        <w:t>下降7</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环比增长</w:t>
      </w:r>
      <w:r>
        <w:rPr>
          <w:rFonts w:ascii="宋体" w:hAnsi="宋体"/>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%；但自主品牌总体压力较大，6月零售</w:t>
      </w:r>
      <w:r>
        <w:rPr>
          <w:rFonts w:ascii="宋体" w:hAnsi="宋体"/>
          <w:color w:val="000000" w:themeColor="text1"/>
          <w14:textFill>
            <w14:solidFill>
              <w14:schemeClr w14:val="tx1"/>
            </w14:solidFill>
          </w14:textFill>
        </w:rPr>
        <w:t>同比</w:t>
      </w:r>
      <w:r>
        <w:rPr>
          <w:rFonts w:hint="eastAsia" w:ascii="宋体" w:hAnsi="宋体"/>
          <w:color w:val="000000" w:themeColor="text1"/>
          <w14:textFill>
            <w14:solidFill>
              <w14:schemeClr w14:val="tx1"/>
            </w14:solidFill>
          </w14:textFill>
        </w:rPr>
        <w:t>下降</w:t>
      </w:r>
      <w:r>
        <w:rPr>
          <w:rFonts w:ascii="宋体" w:hAnsi="宋体"/>
          <w:color w:val="000000" w:themeColor="text1"/>
          <w14:textFill>
            <w14:solidFill>
              <w14:schemeClr w14:val="tx1"/>
            </w14:solidFill>
          </w14:textFill>
        </w:rPr>
        <w:t>16%，</w:t>
      </w:r>
      <w:r>
        <w:rPr>
          <w:rFonts w:hint="eastAsia" w:ascii="宋体" w:hAnsi="宋体"/>
          <w:color w:val="000000" w:themeColor="text1"/>
          <w14:textFill>
            <w14:solidFill>
              <w14:schemeClr w14:val="tx1"/>
            </w14:solidFill>
          </w14:textFill>
        </w:rPr>
        <w:t>且环比5月持平，市场份额3</w:t>
      </w:r>
      <w:r>
        <w:rPr>
          <w:rFonts w:ascii="宋体" w:hAnsi="宋体"/>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%，创出了近年来的新低</w:t>
      </w:r>
      <w:r>
        <w:rPr>
          <w:rFonts w:ascii="宋体" w:hAnsi="宋体"/>
          <w:color w:val="000000" w:themeColor="text1"/>
          <w14:textFill>
            <w14:solidFill>
              <w14:schemeClr w14:val="tx1"/>
            </w14:solidFill>
          </w14:textFill>
        </w:rPr>
        <w:t>。</w:t>
      </w:r>
    </w:p>
    <w:p>
      <w:pPr>
        <w:ind w:left="420" w:leftChars="0" w:firstLine="424" w:firstLineChars="202"/>
        <w:jc w:val="left"/>
        <w:rPr>
          <w:rFonts w:ascii="宋体" w:hAnsi="宋体"/>
          <w:kern w:val="0"/>
          <w:szCs w:val="21"/>
        </w:rPr>
      </w:pPr>
      <w:r>
        <w:rPr>
          <w:rFonts w:hint="eastAsia"/>
          <w:color w:val="000000" w:themeColor="text1"/>
          <w14:textFill>
            <w14:solidFill>
              <w14:schemeClr w14:val="tx1"/>
            </w14:solidFill>
          </w14:textFill>
        </w:rPr>
        <w:t>本月主流合资品牌与自主品牌领军品牌的走势总体较强，但车企零售分化越加明显，部分中小车企生存艰难。</w:t>
      </w:r>
      <w:bookmarkEnd w:id="18"/>
      <w:r>
        <w:rPr>
          <w:rFonts w:hint="eastAsia"/>
          <w:color w:val="000000" w:themeColor="text1"/>
          <w14:textFill>
            <w14:solidFill>
              <w14:schemeClr w14:val="tx1"/>
            </w14:solidFill>
          </w14:textFill>
        </w:rPr>
        <w:t>6月主力厂家零售表现与同期排名有较大变化，长安、吉利、红旗等自主厂家零售较强，主要是新品推动和民族情结推动较好。</w:t>
      </w:r>
    </w:p>
    <w:p>
      <w:pPr>
        <w:widowControl/>
        <w:ind w:firstLine="422" w:firstLineChars="201"/>
        <w:jc w:val="left"/>
        <w:rPr>
          <w:rFonts w:ascii="宋体" w:hAnsi="宋体"/>
          <w:kern w:val="0"/>
          <w:szCs w:val="21"/>
        </w:rPr>
      </w:pPr>
    </w:p>
    <w:p>
      <w:pPr>
        <w:numPr>
          <w:ilvl w:val="0"/>
          <w:numId w:val="1"/>
        </w:numPr>
        <w:ind w:left="840" w:leftChars="0"/>
        <w:outlineLvl w:val="1"/>
        <w:rPr>
          <w:rFonts w:ascii="黑体" w:hAnsi="黑体" w:eastAsia="黑体"/>
          <w:bCs/>
          <w:sz w:val="24"/>
        </w:rPr>
      </w:pPr>
      <w:bookmarkStart w:id="19" w:name="_Hlk35115366"/>
      <w:r>
        <w:rPr>
          <w:rFonts w:hint="eastAsia" w:ascii="黑体" w:hAnsi="黑体" w:eastAsia="黑体"/>
          <w:bCs/>
          <w:sz w:val="24"/>
        </w:rPr>
        <w:t>新能源与传统车走势对比</w:t>
      </w:r>
    </w:p>
    <w:p>
      <w:pPr>
        <w:widowControl/>
        <w:ind w:left="420" w:leftChars="0" w:firstLine="422" w:firstLineChars="201"/>
        <w:jc w:val="left"/>
        <w:rPr>
          <w:rFonts w:ascii="宋体" w:hAnsi="宋体"/>
          <w:kern w:val="0"/>
          <w:szCs w:val="21"/>
        </w:rPr>
      </w:pPr>
      <w:bookmarkStart w:id="20" w:name="_Hlk43048849"/>
      <w:r>
        <w:drawing>
          <wp:inline distT="0" distB="0" distL="0" distR="0">
            <wp:extent cx="5562600" cy="4038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562600" cy="4038600"/>
                    </a:xfrm>
                    <a:prstGeom prst="rect">
                      <a:avLst/>
                    </a:prstGeom>
                    <a:noFill/>
                    <a:ln>
                      <a:noFill/>
                    </a:ln>
                  </pic:spPr>
                </pic:pic>
              </a:graphicData>
            </a:graphic>
          </wp:inline>
        </w:drawing>
      </w: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6月新能源乘用车批发销量8.5万辆，同比下降3</w:t>
      </w:r>
      <w:r>
        <w:rPr>
          <w:rFonts w:ascii="宋体" w:hAnsi="宋体"/>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环比增长20%。其中插电混动销量1.77万辆，同比下降11%。纯电动的批发销量6.7万辆，同比下降40%。6月电动车高端化趋势明显，A级及以下电动车同比下降56%，B级及以上电动车同比增长8倍。6月独资与合资新能源表现较强，成为新能源车市重要力量。</w:t>
      </w:r>
    </w:p>
    <w:p>
      <w:pPr>
        <w:ind w:left="420" w:leftChars="0" w:firstLine="424" w:firstLineChars="202"/>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6月普通混合动力乘用车批发3万辆，同比增长了50%。。</w:t>
      </w:r>
    </w:p>
    <w:bookmarkEnd w:id="6"/>
    <w:bookmarkEnd w:id="12"/>
    <w:bookmarkEnd w:id="19"/>
    <w:bookmarkEnd w:id="20"/>
    <w:p>
      <w:pPr>
        <w:ind w:firstLine="567" w:firstLineChars="270"/>
        <w:rPr>
          <w:rFonts w:ascii="宋体" w:hAnsi="宋体"/>
          <w:kern w:val="0"/>
          <w:szCs w:val="21"/>
        </w:rPr>
      </w:pPr>
    </w:p>
    <w:bookmarkEnd w:id="13"/>
    <w:p>
      <w:pPr>
        <w:pStyle w:val="2"/>
        <w:ind w:firstLine="420" w:firstLineChars="0"/>
        <w:rPr>
          <w:rFonts w:ascii="黑体" w:eastAsia="黑体"/>
          <w:color w:val="000000"/>
          <w:sz w:val="28"/>
          <w:szCs w:val="28"/>
        </w:rPr>
      </w:pPr>
      <w:r>
        <w:rPr>
          <w:rFonts w:hint="eastAsia" w:ascii="黑体" w:eastAsia="黑体"/>
          <w:color w:val="000000"/>
          <w:sz w:val="28"/>
          <w:szCs w:val="28"/>
        </w:rPr>
        <w:t>二、宏观经济和汽车走势</w:t>
      </w:r>
    </w:p>
    <w:p>
      <w:pPr>
        <w:keepNext/>
        <w:keepLines/>
        <w:numPr>
          <w:ilvl w:val="0"/>
          <w:numId w:val="2"/>
        </w:numPr>
        <w:spacing w:line="416" w:lineRule="auto"/>
        <w:ind w:left="840" w:leftChars="0"/>
        <w:outlineLvl w:val="1"/>
        <w:rPr>
          <w:rFonts w:ascii="黑体" w:hAnsi="宋体" w:eastAsia="黑体"/>
          <w:b/>
          <w:bCs/>
          <w:color w:val="FF0000"/>
          <w:sz w:val="24"/>
        </w:rPr>
      </w:pPr>
      <w:r>
        <w:rPr>
          <w:rFonts w:hint="eastAsia" w:ascii="黑体" w:hAnsi="宋体" w:eastAsia="黑体"/>
          <w:b/>
          <w:bCs/>
          <w:color w:val="FF0000"/>
          <w:sz w:val="24"/>
        </w:rPr>
        <w:t>国家宏观政策</w:t>
      </w:r>
    </w:p>
    <w:p>
      <w:pPr>
        <w:ind w:firstLine="422" w:firstLineChars="201"/>
      </w:pPr>
    </w:p>
    <w:p>
      <w:pPr>
        <w:pStyle w:val="34"/>
        <w:widowControl/>
        <w:numPr>
          <w:ilvl w:val="0"/>
          <w:numId w:val="3"/>
        </w:numPr>
        <w:ind w:left="1324" w:leftChars="0" w:firstLineChars="0"/>
        <w:jc w:val="left"/>
        <w:outlineLvl w:val="1"/>
        <w:rPr>
          <w:rFonts w:ascii="黑体" w:hAnsi="黑体" w:eastAsia="黑体"/>
          <w:b/>
          <w:color w:val="FF0000"/>
          <w:sz w:val="24"/>
        </w:rPr>
      </w:pPr>
      <w:bookmarkStart w:id="21" w:name="_Hlk44540910"/>
      <w:bookmarkStart w:id="22" w:name="_Toc285960525"/>
      <w:bookmarkStart w:id="23" w:name="_Toc285960420"/>
      <w:bookmarkStart w:id="24" w:name="_Toc285960735"/>
      <w:bookmarkStart w:id="25" w:name="_Toc285961910"/>
      <w:r>
        <w:rPr>
          <w:rFonts w:hint="eastAsia" w:ascii="黑体" w:hAnsi="黑体" w:eastAsia="黑体"/>
          <w:b/>
          <w:color w:val="FF0000"/>
          <w:sz w:val="24"/>
        </w:rPr>
        <w:t>国家政策</w:t>
      </w:r>
    </w:p>
    <w:bookmarkEnd w:id="21"/>
    <w:p>
      <w:pPr>
        <w:ind w:firstLine="424" w:firstLineChars="202"/>
      </w:pPr>
    </w:p>
    <w:p>
      <w:pPr>
        <w:pStyle w:val="34"/>
        <w:numPr>
          <w:ilvl w:val="0"/>
          <w:numId w:val="4"/>
        </w:numPr>
        <w:ind w:left="840" w:leftChars="0" w:firstLineChars="0"/>
        <w:outlineLvl w:val="2"/>
        <w:rPr>
          <w:b/>
        </w:rPr>
      </w:pPr>
      <w:r>
        <w:rPr>
          <w:rFonts w:hint="eastAsia"/>
          <w:b/>
        </w:rPr>
        <w:t>关于修改《乘用车企业平均燃料消耗量与新能源汽车积分并行管理办法》的决定</w:t>
      </w:r>
    </w:p>
    <w:p>
      <w:pPr>
        <w:ind w:firstLine="420" w:firstLineChars="0"/>
      </w:pPr>
      <w:r>
        <w:rPr>
          <w:rFonts w:hint="eastAsia"/>
        </w:rPr>
        <w:t>6月22日，工业和信息化部网站公布工业和信息化部等五部委第53号令“关于修改《乘用车企业平均燃料消耗量与新能源汽车积分并行管理办法》的决定”。</w:t>
      </w:r>
    </w:p>
    <w:p>
      <w:pPr>
        <w:ind w:firstLine="420" w:firstLineChars="0"/>
      </w:pPr>
      <w:r>
        <w:rPr>
          <w:rFonts w:hint="eastAsia"/>
        </w:rPr>
        <w:t>此次《积分办法》修改明确了2021-2023年新能源汽车积分比例要求，分别为14%、16%、18%。此外，《积分办法》修改的主要内容主要有以下几项：</w:t>
      </w:r>
    </w:p>
    <w:p>
      <w:pPr>
        <w:ind w:firstLine="420" w:firstLineChars="0"/>
      </w:pPr>
      <w:r>
        <w:rPr>
          <w:rFonts w:hint="eastAsia"/>
        </w:rPr>
        <w:t>一是增加了引导传统乘用车节能的措施。为引导企业加大节能技术研发投入，《决定》对生产/供应低油耗车型的企业在核算新能源汽车积分达标值时给予核算优惠，考虑到随着油耗达标要求逐年加严，符合低油耗标准的车型技术难度和成本逐步增大的实际情况，2021至2023年逐步提高低油耗车型核算优惠力度，从0.5倍、0.3倍逐步过渡到0.2倍。</w:t>
      </w:r>
    </w:p>
    <w:p>
      <w:pPr>
        <w:ind w:firstLine="420" w:firstLineChars="0"/>
      </w:pPr>
      <w:r>
        <w:rPr>
          <w:rFonts w:hint="eastAsia"/>
        </w:rPr>
        <w:t>二是完善了新能源汽车积分灵活性措施。为降低积分供需失衡风险、保障积分价格，《决定》建立了企业传统能源乘用车节能水平与新能源汽车正积分结转的关联机制，企业传统能源乘用车燃料消耗量达到一定水平的，其新能源汽车正积分可按照50%的比例向后结转。</w:t>
      </w:r>
    </w:p>
    <w:p>
      <w:pPr>
        <w:ind w:firstLine="420" w:firstLineChars="0"/>
      </w:pPr>
      <w:r>
        <w:rPr>
          <w:rFonts w:hint="eastAsia"/>
        </w:rPr>
        <w:t>三是丰富了关联企业的认定条件。允许同一外方母公司旗下的合资企业间、国内汽车企业与其持股的境外生产企业所对应的授权进口供应企业间转让平均燃料消耗量积分。</w:t>
      </w:r>
    </w:p>
    <w:p>
      <w:pPr>
        <w:pStyle w:val="34"/>
        <w:numPr>
          <w:ilvl w:val="0"/>
          <w:numId w:val="4"/>
        </w:numPr>
        <w:ind w:left="840" w:leftChars="0" w:firstLineChars="0"/>
        <w:outlineLvl w:val="2"/>
        <w:rPr>
          <w:b/>
        </w:rPr>
      </w:pPr>
      <w:r>
        <w:rPr>
          <w:rFonts w:hint="eastAsia"/>
          <w:b/>
        </w:rPr>
        <w:t>发改委：积极推进汽车更新置换和回收处理</w:t>
      </w:r>
    </w:p>
    <w:p>
      <w:pPr>
        <w:ind w:firstLine="420" w:firstLineChars="0"/>
      </w:pPr>
      <w:r>
        <w:rPr>
          <w:rFonts w:hint="eastAsia"/>
        </w:rPr>
        <w:t>6月16日，国家发改委政研室副主任兼发改委新闻发言人孟玮表示，发改委将重点以高质量的供给来适应、引领和创造新需求，积极推进家电、汽车等更新置换和回收处理，顺势而为促进消费新业态加快发展、完善提升。</w:t>
      </w:r>
    </w:p>
    <w:p>
      <w:pPr>
        <w:rPr>
          <w:rFonts w:cs="宋体"/>
          <w:b/>
          <w:bCs/>
          <w:i/>
          <w:iCs/>
        </w:rPr>
      </w:pPr>
    </w:p>
    <w:p>
      <w:pPr>
        <w:pStyle w:val="34"/>
        <w:numPr>
          <w:ilvl w:val="0"/>
          <w:numId w:val="4"/>
        </w:numPr>
        <w:ind w:left="840" w:leftChars="0" w:firstLineChars="0"/>
        <w:outlineLvl w:val="2"/>
        <w:rPr>
          <w:b/>
        </w:rPr>
      </w:pPr>
      <w:r>
        <w:rPr>
          <w:rFonts w:hint="eastAsia"/>
          <w:b/>
        </w:rPr>
        <w:t>交通运输部：指导督促各地做好新能源公交车出租车推广</w:t>
      </w:r>
    </w:p>
    <w:p>
      <w:pPr>
        <w:ind w:firstLine="420" w:firstLineChars="0"/>
      </w:pPr>
      <w:r>
        <w:rPr>
          <w:rFonts w:hint="eastAsia"/>
        </w:rPr>
        <w:t>6月8日，交通运输部发布《关于做好交通运输促进消费扩容提质有关工作的通知》，通知明确表示，要推进交通运输绿色消费发展，指导督促各地进一步做好新能源公交车、出租汽车推广应用，逐步推动城市公共交通工具和城市物流配送车辆实现电动化和清洁化。</w:t>
      </w:r>
    </w:p>
    <w:p>
      <w:pPr>
        <w:rPr>
          <w:rFonts w:cs="宋体"/>
          <w:b/>
          <w:bCs/>
          <w:i/>
          <w:iCs/>
        </w:rPr>
      </w:pPr>
    </w:p>
    <w:p>
      <w:pPr>
        <w:pStyle w:val="34"/>
        <w:numPr>
          <w:ilvl w:val="0"/>
          <w:numId w:val="4"/>
        </w:numPr>
        <w:ind w:left="840" w:leftChars="0" w:firstLineChars="0"/>
        <w:outlineLvl w:val="2"/>
        <w:rPr>
          <w:b/>
        </w:rPr>
      </w:pPr>
      <w:r>
        <w:rPr>
          <w:rFonts w:hint="eastAsia"/>
          <w:b/>
        </w:rPr>
        <w:t>两部委发布外商投资准入负面清单</w:t>
      </w:r>
    </w:p>
    <w:p>
      <w:pPr>
        <w:ind w:firstLine="420" w:firstLineChars="0"/>
      </w:pPr>
      <w:r>
        <w:rPr>
          <w:rFonts w:hint="eastAsia"/>
        </w:rPr>
        <w:t>6月24日，国家发展改革委、商务部发布第32号令和第33号令，分别发布了《外商投资准入特别管理措施（负面清单）（2020年版）》和《自由贸易试验区外商投资准入特别管理措施（负面清单）（2020年版）》，自2020年7月23日起施行。</w:t>
      </w:r>
    </w:p>
    <w:p>
      <w:pPr>
        <w:rPr>
          <w:rFonts w:cs="宋体"/>
          <w:b/>
          <w:bCs/>
          <w:i/>
          <w:iCs/>
        </w:rPr>
      </w:pPr>
    </w:p>
    <w:p>
      <w:pPr>
        <w:pStyle w:val="34"/>
        <w:numPr>
          <w:ilvl w:val="0"/>
          <w:numId w:val="4"/>
        </w:numPr>
        <w:ind w:left="840" w:leftChars="0" w:firstLineChars="0"/>
        <w:outlineLvl w:val="2"/>
        <w:rPr>
          <w:b/>
        </w:rPr>
      </w:pPr>
      <w:r>
        <w:rPr>
          <w:rFonts w:hint="eastAsia"/>
          <w:b/>
        </w:rPr>
        <w:t>工信部：开展新能源汽车安全隐患排查工作</w:t>
      </w:r>
    </w:p>
    <w:p>
      <w:pPr>
        <w:ind w:firstLine="420" w:firstLineChars="0"/>
      </w:pPr>
      <w:r>
        <w:rPr>
          <w:rFonts w:hint="eastAsia"/>
        </w:rPr>
        <w:t>6月8日，工信部发布《关于开展新能源汽车安全隐患排查工作的通知》，通知要求各新能源汽车生产企业及动力电池供应商要重点对已售车辆、库存车辆的防水保护、高压线束、车辆碰撞、车载动力电池、车载充电装置、电池箱、机械部件和易损件开展安全隐患排查工作。</w:t>
      </w:r>
    </w:p>
    <w:p>
      <w:pPr>
        <w:rPr>
          <w:rFonts w:cs="宋体"/>
          <w:b/>
          <w:bCs/>
          <w:i/>
          <w:iCs/>
        </w:rPr>
      </w:pPr>
    </w:p>
    <w:p>
      <w:pPr>
        <w:rPr>
          <w:rFonts w:cs="宋体"/>
          <w:b/>
          <w:bCs/>
          <w:i/>
          <w:iCs/>
        </w:rPr>
      </w:pPr>
    </w:p>
    <w:p>
      <w:pPr>
        <w:pStyle w:val="34"/>
        <w:numPr>
          <w:ilvl w:val="0"/>
          <w:numId w:val="4"/>
        </w:numPr>
        <w:ind w:left="840" w:leftChars="0" w:firstLineChars="0"/>
        <w:outlineLvl w:val="2"/>
        <w:rPr>
          <w:b/>
        </w:rPr>
      </w:pPr>
      <w:r>
        <w:rPr>
          <w:rFonts w:hint="eastAsia"/>
          <w:b/>
        </w:rPr>
        <w:t>住建部：为加强和完善加氢站技术发展</w:t>
      </w:r>
    </w:p>
    <w:p>
      <w:pPr>
        <w:ind w:firstLine="420" w:firstLineChars="0"/>
      </w:pPr>
      <w:r>
        <w:rPr>
          <w:rFonts w:hint="eastAsia"/>
        </w:rPr>
        <w:t>6月17日，住房和城乡建设部办公厅发布了关于国家标准《加氢站技术规范（局部修订条文征求意见稿）》公开征求意见的通知。本次修订稿增加了液氢相关技术内容，补充完善了氢储存系统及设备技术、氢气加氢机技术等方面的内容。</w:t>
      </w:r>
    </w:p>
    <w:p>
      <w:pPr>
        <w:ind w:firstLine="424" w:firstLineChars="202"/>
      </w:pPr>
    </w:p>
    <w:p>
      <w:pPr>
        <w:pStyle w:val="34"/>
        <w:widowControl/>
        <w:numPr>
          <w:ilvl w:val="0"/>
          <w:numId w:val="3"/>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地方政策</w:t>
      </w:r>
    </w:p>
    <w:p>
      <w:pPr>
        <w:ind w:firstLine="424" w:firstLineChars="202"/>
      </w:pPr>
    </w:p>
    <w:p>
      <w:pPr>
        <w:pStyle w:val="34"/>
        <w:numPr>
          <w:ilvl w:val="0"/>
          <w:numId w:val="4"/>
        </w:numPr>
        <w:ind w:left="840" w:leftChars="0" w:firstLineChars="0"/>
        <w:outlineLvl w:val="2"/>
        <w:rPr>
          <w:b/>
        </w:rPr>
      </w:pPr>
      <w:r>
        <w:rPr>
          <w:rFonts w:hint="eastAsia"/>
          <w:b/>
        </w:rPr>
        <w:t>海南省委书记:2030年将不再销售燃油车</w:t>
      </w:r>
    </w:p>
    <w:p>
      <w:pPr>
        <w:ind w:firstLine="420" w:firstLineChars="0"/>
      </w:pPr>
      <w:r>
        <w:rPr>
          <w:rFonts w:hint="eastAsia"/>
        </w:rPr>
        <w:t>2020年6月8日，国务院新闻办公室举行新闻发布会。会上，在介绍《海南自由贸易港建设总体方案》有关情况时，海南省委书记、海南省人大常委会主任刘赐贵表示，到2030年海南将不再销售燃油汽车。</w:t>
      </w:r>
    </w:p>
    <w:p>
      <w:pPr>
        <w:rPr>
          <w:rFonts w:cs="宋体"/>
          <w:b/>
          <w:bCs/>
          <w:i/>
          <w:iCs/>
        </w:rPr>
      </w:pPr>
    </w:p>
    <w:p>
      <w:pPr>
        <w:pStyle w:val="34"/>
        <w:numPr>
          <w:ilvl w:val="0"/>
          <w:numId w:val="4"/>
        </w:numPr>
        <w:ind w:left="840" w:leftChars="0" w:firstLineChars="0"/>
        <w:outlineLvl w:val="2"/>
        <w:rPr>
          <w:b/>
        </w:rPr>
      </w:pPr>
      <w:r>
        <w:rPr>
          <w:rFonts w:hint="eastAsia"/>
          <w:b/>
        </w:rPr>
        <w:t>三亚七月起新能源汽车免收停车费有效期为3年</w:t>
      </w:r>
    </w:p>
    <w:p>
      <w:pPr>
        <w:ind w:firstLine="420" w:firstLineChars="0"/>
      </w:pPr>
      <w:r>
        <w:rPr>
          <w:rFonts w:hint="eastAsia"/>
        </w:rPr>
        <w:t>三亚市发展和改革委员会日前印发的《三亚市新能源汽车停放服务收费暂行规定》（，明确了新能源汽车在该市享受停放服务费的减免优惠。在公安机关交通管理部门注册登记的新能源汽车，在三亚行政区域内的停车设施停放均按《暂行规定》执行。自7月1日起，新能源汽车在三亚每日22时至次日8时免收停车费。规定有效期为3年。</w:t>
      </w:r>
    </w:p>
    <w:p>
      <w:pPr>
        <w:rPr>
          <w:rFonts w:cs="宋体"/>
          <w:b/>
          <w:bCs/>
          <w:i/>
          <w:iCs/>
        </w:rPr>
      </w:pPr>
    </w:p>
    <w:p>
      <w:pPr>
        <w:pStyle w:val="34"/>
        <w:numPr>
          <w:ilvl w:val="3"/>
          <w:numId w:val="5"/>
        </w:numPr>
        <w:ind w:left="840" w:leftChars="0" w:firstLineChars="0"/>
        <w:jc w:val="left"/>
        <w:outlineLvl w:val="2"/>
        <w:rPr>
          <w:b/>
        </w:rPr>
      </w:pPr>
      <w:r>
        <w:rPr>
          <w:rFonts w:hint="eastAsia"/>
          <w:b/>
        </w:rPr>
        <w:t>山东发布国内首个省级氢能中长期规划</w:t>
      </w:r>
    </w:p>
    <w:p>
      <w:pPr>
        <w:ind w:firstLine="420" w:firstLineChars="0"/>
      </w:pPr>
      <w:r>
        <w:rPr>
          <w:rFonts w:hint="eastAsia"/>
        </w:rPr>
        <w:t>6月24日，山东省举办解读《山东省氢能产业中长期发展规划（2020—2030年）》发布会。规划将“三步走”，同时六城联动，培育壮大“鲁氢经济带”，重点突破七大工程，通过七项措施，为氢能战略保驾护航。</w:t>
      </w:r>
    </w:p>
    <w:p>
      <w:pPr>
        <w:rPr>
          <w:rFonts w:cs="宋体"/>
          <w:b/>
          <w:bCs/>
          <w:i/>
          <w:iCs/>
        </w:rPr>
      </w:pPr>
    </w:p>
    <w:p>
      <w:pPr>
        <w:rPr>
          <w:rFonts w:cs="宋体"/>
          <w:b/>
          <w:bCs/>
          <w:i/>
          <w:iCs/>
        </w:rPr>
      </w:pPr>
    </w:p>
    <w:p>
      <w:pPr>
        <w:pStyle w:val="34"/>
        <w:numPr>
          <w:ilvl w:val="3"/>
          <w:numId w:val="5"/>
        </w:numPr>
        <w:ind w:left="840" w:leftChars="0" w:firstLineChars="0"/>
        <w:jc w:val="left"/>
        <w:outlineLvl w:val="2"/>
        <w:rPr>
          <w:b/>
        </w:rPr>
      </w:pPr>
      <w:r>
        <w:rPr>
          <w:rFonts w:hint="eastAsia"/>
          <w:b/>
        </w:rPr>
        <w:t>河北省首座商业化运营固定加氢站开建</w:t>
      </w:r>
    </w:p>
    <w:p>
      <w:pPr>
        <w:ind w:firstLine="420" w:firstLineChars="0"/>
      </w:pPr>
      <w:r>
        <w:rPr>
          <w:rFonts w:hint="eastAsia"/>
        </w:rPr>
        <w:t>河北省首座商业化运营固定加氢站——张家口纬三路加氢站开工建设，标志着张家口氢能保障供应体系一期工程正式迈入建设阶段，也标志着该市氢能源基础设施网络的建设速度不断加快。</w:t>
      </w:r>
    </w:p>
    <w:p>
      <w:pPr>
        <w:ind w:firstLine="420" w:firstLineChars="0"/>
      </w:pPr>
      <w:r>
        <w:rPr>
          <w:rFonts w:hint="eastAsia"/>
        </w:rPr>
        <w:t>为进一步助力氢能源汽车产业发展，近日，张家口市发布《张家口氢能保障供应体系一期工程建设实施方案》，计划到2022年北京冬奥会前，氢气产能实现10000吨/年，一期工程建设16座加氢站，其中2020年底前建成10座，2021年6月底前建成6座。</w:t>
      </w:r>
    </w:p>
    <w:p>
      <w:pPr>
        <w:rPr>
          <w:rFonts w:cs="宋体"/>
          <w:b/>
          <w:bCs/>
          <w:i/>
          <w:iCs/>
        </w:rPr>
      </w:pPr>
    </w:p>
    <w:p>
      <w:pPr>
        <w:pStyle w:val="34"/>
        <w:numPr>
          <w:ilvl w:val="3"/>
          <w:numId w:val="5"/>
        </w:numPr>
        <w:ind w:left="840" w:leftChars="0" w:firstLineChars="0"/>
        <w:jc w:val="left"/>
        <w:outlineLvl w:val="2"/>
        <w:rPr>
          <w:b/>
        </w:rPr>
      </w:pPr>
      <w:r>
        <w:rPr>
          <w:rFonts w:hint="eastAsia"/>
          <w:b/>
        </w:rPr>
        <w:t>河南居民充电桩用电报装“提速”</w:t>
      </w:r>
    </w:p>
    <w:p>
      <w:pPr>
        <w:ind w:firstLine="420" w:firstLineChars="0"/>
      </w:pPr>
      <w:r>
        <w:rPr>
          <w:rFonts w:hint="eastAsia"/>
        </w:rPr>
        <w:t>郑州供电公司表示，得益于国网河南省电力公司新实施的《充电设施用电报装管理指导意见》，仅仅只提供了一张身份证，电力部门就受理了我的充电桩报装用电申请。</w:t>
      </w:r>
    </w:p>
    <w:p>
      <w:pPr>
        <w:ind w:firstLine="420" w:firstLineChars="0"/>
      </w:pPr>
      <w:r>
        <w:rPr>
          <w:rFonts w:hint="eastAsia"/>
        </w:rPr>
        <w:t>为了给广大新能源汽车客户提供更加便捷、贴心的充电体验，促进新能源汽车市场和产业发展，去年以来，国网河南电力在深入摸排研究的基础上，专门组织人员编制了指导意见，并于今年6月上旬在全省印发、实施，进一步规范新能源汽车充电设施用电报装工作。</w:t>
      </w:r>
    </w:p>
    <w:p>
      <w:pPr>
        <w:ind w:firstLine="420" w:firstLineChars="0"/>
      </w:pPr>
      <w:r>
        <w:rPr>
          <w:rFonts w:hint="eastAsia"/>
        </w:rPr>
        <w:t>《指导意见》有效解决了因全省各地政策差异而导致的用电报装难题。《指导意见》还明确了新能源汽车充电设施报装办法，规范了报装资料、供电容量、投资界面和运维安全责任、业务流程、电价标准等方面的内容，为促进我省充电设施规范建设、健康发展提供了可靠保障。</w:t>
      </w:r>
    </w:p>
    <w:p>
      <w:pPr>
        <w:rPr>
          <w:rFonts w:cs="宋体"/>
          <w:b/>
          <w:bCs/>
          <w:i/>
          <w:iCs/>
        </w:rPr>
      </w:pPr>
    </w:p>
    <w:p>
      <w:pPr>
        <w:pStyle w:val="34"/>
        <w:numPr>
          <w:ilvl w:val="0"/>
          <w:numId w:val="6"/>
        </w:numPr>
        <w:ind w:left="840" w:leftChars="0" w:firstLineChars="0"/>
        <w:outlineLvl w:val="2"/>
        <w:rPr>
          <w:b/>
        </w:rPr>
      </w:pPr>
      <w:r>
        <w:rPr>
          <w:rFonts w:hint="eastAsia"/>
          <w:b/>
        </w:rPr>
        <w:t>深圳：加大对新能源汽车推广允许持有居住证申请指标</w:t>
      </w:r>
    </w:p>
    <w:p>
      <w:pPr>
        <w:ind w:firstLine="420" w:firstLineChars="0"/>
      </w:pPr>
      <w:r>
        <w:rPr>
          <w:rFonts w:hint="eastAsia"/>
        </w:rPr>
        <w:t>6月10日，深圳发布应对新冠肺炎疫情影响促进新能源汽车推广应用若干措施，包括：放宽个人新能源小汽车增量指标申请条件，允许持有居住证来申请新能源小汽车增量指标；扩大个人增购新能源小汽车车型范围；新购新能源小汽车的个人消费者给予综合使用财政补贴；在全市路内停车位，新能源汽车每日免首2小时临时停车费。</w:t>
      </w:r>
    </w:p>
    <w:p>
      <w:pPr>
        <w:rPr>
          <w:rFonts w:cs="宋体"/>
          <w:b/>
          <w:bCs/>
          <w:i/>
          <w:iCs/>
        </w:rPr>
      </w:pPr>
    </w:p>
    <w:p>
      <w:pPr>
        <w:pStyle w:val="34"/>
        <w:numPr>
          <w:ilvl w:val="0"/>
          <w:numId w:val="6"/>
        </w:numPr>
        <w:ind w:left="840" w:leftChars="0" w:firstLineChars="0"/>
        <w:outlineLvl w:val="2"/>
        <w:rPr>
          <w:b/>
        </w:rPr>
      </w:pPr>
      <w:r>
        <w:rPr>
          <w:rFonts w:hint="eastAsia"/>
          <w:b/>
        </w:rPr>
        <w:t>深圳出台措施促新能源汽车推广购车补贴2万</w:t>
      </w:r>
    </w:p>
    <w:p>
      <w:pPr>
        <w:ind w:firstLine="420" w:firstLineChars="0"/>
      </w:pPr>
      <w:r>
        <w:rPr>
          <w:rFonts w:hint="eastAsia"/>
        </w:rPr>
        <w:t>2020年6月7日，深圳市印发《深圳市应对新冠肺炎疫情影响促进新能源汽车推广应用若干措施》，文件从五大方面采取措施促新能源汽车产业发展，自2020年6月7日起执行，至2020年12月31日止。</w:t>
      </w:r>
    </w:p>
    <w:p>
      <w:pPr>
        <w:ind w:firstLine="420" w:firstLineChars="0"/>
      </w:pPr>
      <w:r>
        <w:rPr>
          <w:rFonts w:hint="eastAsia"/>
        </w:rPr>
        <w:t>《措施》放宽了个人新能源小汽车增量指标申请条件：允许持有效深圳市居住证的非深户籍人员，及持有效身份证明并按本市公安机关规定办理境外人员临时住宿登记的华侨、港澳台地区居民及在本市办理签证或居留许可的外国人申请深圳市新能源小汽车增量指标。</w:t>
      </w:r>
    </w:p>
    <w:p>
      <w:pPr>
        <w:ind w:firstLine="420" w:firstLineChars="0"/>
      </w:pPr>
      <w:r>
        <w:rPr>
          <w:rFonts w:hint="eastAsia"/>
        </w:rPr>
        <w:t>针对新能源小汽车购车补贴，《措施》规定，对新购新能源小汽车的个人消费者给予综合使用财政补贴，其中新购纯电动高级型或经济型乘用车补贴2万元/车，新购插电式混合动力高级型乘用车补贴1万元/车。</w:t>
      </w:r>
    </w:p>
    <w:p>
      <w:pPr>
        <w:rPr>
          <w:rFonts w:cs="宋体"/>
          <w:b/>
          <w:bCs/>
          <w:i/>
          <w:iCs/>
        </w:rPr>
      </w:pPr>
    </w:p>
    <w:p>
      <w:pPr>
        <w:pStyle w:val="34"/>
        <w:numPr>
          <w:ilvl w:val="3"/>
          <w:numId w:val="5"/>
        </w:numPr>
        <w:ind w:left="840" w:leftChars="0" w:firstLineChars="0"/>
        <w:jc w:val="left"/>
        <w:outlineLvl w:val="2"/>
      </w:pPr>
      <w:r>
        <w:rPr>
          <w:rFonts w:hint="eastAsia"/>
          <w:b/>
        </w:rPr>
        <w:t>深圳追加新能源指标数量申领条件放宽</w:t>
      </w:r>
    </w:p>
    <w:p>
      <w:pPr>
        <w:ind w:firstLine="420" w:firstLineChars="0"/>
      </w:pPr>
      <w:r>
        <w:rPr>
          <w:rFonts w:hint="eastAsia"/>
        </w:rPr>
        <w:t>深圳市交通运输局发布关于调整新能源小汽车增量指标申请条件的通告。具体内容如下：一、使用2020年追加的小汽车指标额度，调整小汽车增量指标申请条件中“居住在本市”的情形，面向个人投放新能源小汽车增量指标。允许持有效深圳市居住证的非深户籍人员，及持有效身份证明并按本市公安机关规定办理境外人员临时住宿登记的华侨、港澳台地区居民及在本市办理签证或居留许可的外国人申领。审核时，不要求持居住证人员最近连续24个月以上在本市缴纳（不含补缴）基本医疗保险；不要求华侨、港澳台地区居民、本市办理签证或居留许可的外国人近2年内每年在本市累计居住9个月以上。其他要求不变。二、使用2020年追加的小汽车指标额度，面向个人投放混合动力小汽车指标，允许名下仅有1辆在深圳市登记的小汽车（含有效未使用的小汽车指标、更新指标申请资格，具体认定办法参照《深圳市小汽车增量调控管理实施细则》第十六条规定）的个人申领。其他要求不变。三、本次新能源小汽车增量指标申请条件调整政策截止至2020年12月31日，投放数量不超过2020年追加的小汽车指标剩余额度（36377个），额度使用完毕即止。</w:t>
      </w:r>
    </w:p>
    <w:p>
      <w:pPr>
        <w:rPr>
          <w:rFonts w:cs="宋体"/>
          <w:b/>
          <w:bCs/>
          <w:i/>
          <w:iCs/>
        </w:rPr>
      </w:pPr>
    </w:p>
    <w:p>
      <w:pPr>
        <w:pStyle w:val="34"/>
        <w:numPr>
          <w:ilvl w:val="0"/>
          <w:numId w:val="6"/>
        </w:numPr>
        <w:ind w:left="840" w:leftChars="0" w:firstLineChars="0"/>
        <w:outlineLvl w:val="2"/>
        <w:rPr>
          <w:b/>
        </w:rPr>
      </w:pPr>
      <w:r>
        <w:rPr>
          <w:rFonts w:hint="eastAsia"/>
          <w:b/>
        </w:rPr>
        <w:t>天津发布新能源车推广新政</w:t>
      </w:r>
    </w:p>
    <w:p>
      <w:pPr>
        <w:ind w:firstLine="420" w:firstLineChars="0"/>
      </w:pPr>
      <w:r>
        <w:rPr>
          <w:rFonts w:hint="eastAsia"/>
        </w:rPr>
        <w:t>天津市工业和信息化局发布了《2020年新能源汽车推广应用工作要点》的通知，旨在持续推动天津市新能源汽车安全有序应用，加快营造全市新能源汽车产业良好业态。《要点》提到，鼓励一汽丰田奕泽E进擎、一汽-大众探岳GTE等车型的投产。年底前城区公交车全部更换为新能源汽车。要继续实施新能源汽车免限购、不受机动车尾号限行等政策。继续推进全市各类公共充电桩的建设。</w:t>
      </w:r>
    </w:p>
    <w:p>
      <w:pPr>
        <w:rPr>
          <w:rFonts w:cs="宋体"/>
          <w:b/>
          <w:bCs/>
          <w:i/>
          <w:iCs/>
        </w:rPr>
      </w:pPr>
    </w:p>
    <w:p>
      <w:pPr>
        <w:pStyle w:val="2"/>
        <w:ind w:firstLine="420" w:firstLineChars="0"/>
        <w:rPr>
          <w:rFonts w:ascii="黑体" w:eastAsia="黑体"/>
          <w:color w:val="000000"/>
          <w:sz w:val="28"/>
          <w:szCs w:val="28"/>
        </w:rPr>
      </w:pPr>
      <w:r>
        <w:rPr>
          <w:rFonts w:hint="eastAsia" w:ascii="黑体" w:eastAsia="黑体"/>
          <w:color w:val="000000"/>
          <w:sz w:val="28"/>
          <w:szCs w:val="28"/>
        </w:rPr>
        <w:t>三、汽车产业运行走势</w:t>
      </w:r>
    </w:p>
    <w:p>
      <w:pPr>
        <w:ind w:firstLine="422" w:firstLineChars="201"/>
      </w:pPr>
    </w:p>
    <w:p>
      <w:pPr>
        <w:ind w:firstLine="422" w:firstLineChars="201"/>
      </w:pPr>
    </w:p>
    <w:p>
      <w:pPr>
        <w:keepNext/>
        <w:keepLines/>
        <w:numPr>
          <w:ilvl w:val="0"/>
          <w:numId w:val="2"/>
        </w:numPr>
        <w:spacing w:line="416" w:lineRule="auto"/>
        <w:ind w:left="840" w:leftChars="0"/>
        <w:outlineLvl w:val="1"/>
        <w:rPr>
          <w:rFonts w:ascii="黑体" w:hAnsi="宋体" w:eastAsia="黑体"/>
          <w:b/>
          <w:bCs/>
          <w:color w:val="FF0000"/>
          <w:sz w:val="24"/>
        </w:rPr>
      </w:pPr>
      <w:r>
        <w:rPr>
          <w:rFonts w:ascii="黑体" w:hAnsi="宋体" w:eastAsia="黑体"/>
          <w:b/>
          <w:bCs/>
          <w:color w:val="FF0000"/>
          <w:sz w:val="24"/>
        </w:rPr>
        <w:t>20</w:t>
      </w:r>
      <w:r>
        <w:rPr>
          <w:rFonts w:hint="eastAsia" w:ascii="黑体" w:hAnsi="宋体" w:eastAsia="黑体"/>
          <w:b/>
          <w:bCs/>
          <w:color w:val="FF0000"/>
          <w:sz w:val="24"/>
        </w:rPr>
        <w:t>年6月汽车消费走势回升巨大</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4163695" cy="3291840"/>
            <wp:effectExtent l="0" t="0" r="8255" b="381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163695" cy="3291840"/>
                    </a:xfrm>
                    <a:prstGeom prst="rect">
                      <a:avLst/>
                    </a:prstGeom>
                    <a:noFill/>
                  </pic:spPr>
                </pic:pic>
              </a:graphicData>
            </a:graphic>
          </wp:inline>
        </w:drawing>
      </w:r>
    </w:p>
    <w:p>
      <w:pPr>
        <w:ind w:left="420" w:leftChars="0" w:firstLine="420" w:firstLineChars="200"/>
        <w:rPr>
          <w:rFonts w:ascii="宋体" w:hAnsi="宋体" w:cs="宋体"/>
          <w:color w:val="333333"/>
          <w:kern w:val="0"/>
          <w:sz w:val="22"/>
        </w:rPr>
      </w:pPr>
      <w:r>
        <w:rPr>
          <w:rFonts w:hint="eastAsia" w:ascii="黑体" w:hAnsi="黑体" w:eastAsia="黑体"/>
        </w:rPr>
        <w:t>6月汽车消费品零售总额同比下降8%，已经算很好。</w:t>
      </w:r>
      <w:r>
        <w:rPr>
          <w:rFonts w:hint="eastAsia"/>
          <w:color w:val="333333"/>
          <w:kern w:val="0"/>
          <w:sz w:val="22"/>
        </w:rPr>
        <w:t>6月份，社会消费品零售总额33526亿元，同比下降1.8%。降幅比上月收窄1.0个百分点。其中，除汽车以外的消费品零售额29914亿元，下降1.0%。。</w:t>
      </w:r>
    </w:p>
    <w:p>
      <w:pPr>
        <w:ind w:left="420" w:leftChars="0" w:firstLine="420" w:firstLineChars="200"/>
        <w:rPr>
          <w:szCs w:val="21"/>
        </w:rPr>
      </w:pPr>
      <w:r>
        <w:rPr>
          <w:rFonts w:hint="eastAsia"/>
          <w:szCs w:val="21"/>
        </w:rPr>
        <w:t>1—6月份，社会消费品零售总额172256亿元，同比下降11.4%。其中，除汽车以外的消费品零售额155869亿元，下降10.9%。</w:t>
      </w:r>
    </w:p>
    <w:p>
      <w:pPr>
        <w:ind w:left="420" w:leftChars="0" w:firstLine="420" w:firstLineChars="200"/>
        <w:rPr>
          <w:rFonts w:ascii="宋体" w:hAnsi="宋体" w:cs="宋体"/>
          <w:color w:val="333333"/>
          <w:kern w:val="0"/>
          <w:szCs w:val="21"/>
        </w:rPr>
      </w:pPr>
      <w:r>
        <w:rPr>
          <w:rFonts w:hint="eastAsia"/>
          <w:szCs w:val="21"/>
        </w:rPr>
        <w:t>18</w:t>
      </w:r>
      <w:r>
        <w:rPr>
          <w:szCs w:val="21"/>
        </w:rPr>
        <w:t>-19</w:t>
      </w:r>
      <w:r>
        <w:rPr>
          <w:rFonts w:hint="eastAsia"/>
          <w:szCs w:val="21"/>
        </w:rPr>
        <w:t>年的汽车消费相对低迷，</w:t>
      </w:r>
      <w:r>
        <w:rPr>
          <w:rFonts w:hint="eastAsia" w:asciiTheme="majorEastAsia" w:hAnsiTheme="majorEastAsia" w:eastAsiaTheme="majorEastAsia"/>
        </w:rPr>
        <w:t>入门级消费依旧不足，中高端消费升级表现突出。</w:t>
      </w:r>
      <w:r>
        <w:rPr>
          <w:rFonts w:ascii="宋体" w:hAnsi="宋体" w:cs="宋体"/>
          <w:color w:val="333333"/>
          <w:kern w:val="0"/>
          <w:szCs w:val="21"/>
        </w:rPr>
        <w:t>20</w:t>
      </w:r>
      <w:r>
        <w:rPr>
          <w:rFonts w:hint="eastAsia" w:ascii="宋体" w:hAnsi="宋体" w:cs="宋体"/>
          <w:color w:val="333333"/>
          <w:kern w:val="0"/>
          <w:szCs w:val="21"/>
        </w:rPr>
        <w:t>年</w:t>
      </w:r>
      <w:r>
        <w:rPr>
          <w:rFonts w:ascii="宋体" w:hAnsi="宋体" w:cs="宋体"/>
          <w:color w:val="333333"/>
          <w:kern w:val="0"/>
          <w:szCs w:val="21"/>
        </w:rPr>
        <w:t>的</w:t>
      </w:r>
      <w:r>
        <w:rPr>
          <w:rFonts w:hint="eastAsia" w:ascii="宋体" w:hAnsi="宋体" w:cs="宋体"/>
          <w:color w:val="333333"/>
          <w:kern w:val="0"/>
          <w:szCs w:val="21"/>
        </w:rPr>
        <w:t>汽车消费在年初受到春节因素影响，随后受到疫情影响，目前逐步回升。7月后汽车对消费贡献为正。</w:t>
      </w:r>
    </w:p>
    <w:p>
      <w:pPr>
        <w:ind w:firstLine="420" w:firstLineChars="200"/>
        <w:rPr>
          <w:rFonts w:ascii="宋体" w:hAnsi="宋体" w:cs="宋体"/>
          <w:color w:val="333333"/>
          <w:kern w:val="0"/>
          <w:szCs w:val="21"/>
        </w:rPr>
      </w:pPr>
    </w:p>
    <w:p>
      <w:pPr>
        <w:keepNext/>
        <w:keepLines/>
        <w:numPr>
          <w:ilvl w:val="0"/>
          <w:numId w:val="2"/>
        </w:numPr>
        <w:spacing w:line="416" w:lineRule="auto"/>
        <w:ind w:left="840" w:leftChars="0"/>
        <w:outlineLvl w:val="1"/>
        <w:rPr>
          <w:rFonts w:ascii="黑体" w:hAnsi="宋体" w:eastAsia="黑体"/>
          <w:b/>
          <w:bCs/>
          <w:color w:val="FF0000"/>
          <w:sz w:val="24"/>
        </w:rPr>
      </w:pPr>
      <w:r>
        <w:rPr>
          <w:rFonts w:hint="eastAsia" w:ascii="黑体" w:hAnsi="宋体" w:eastAsia="黑体"/>
          <w:b/>
          <w:bCs/>
          <w:color w:val="FF0000"/>
          <w:sz w:val="24"/>
        </w:rPr>
        <w:t>2020年6月汽车产量回稳</w:t>
      </w:r>
    </w:p>
    <w:p>
      <w:pPr>
        <w:ind w:firstLine="420" w:firstLineChars="0"/>
        <w:rPr>
          <w:color w:val="000000"/>
        </w:rPr>
      </w:pPr>
      <w:r>
        <w:rPr>
          <w:color w:val="000000"/>
        </w:rPr>
        <w:drawing>
          <wp:inline distT="0" distB="0" distL="0" distR="0">
            <wp:extent cx="6029325" cy="330454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029325" cy="3304540"/>
                    </a:xfrm>
                    <a:prstGeom prst="rect">
                      <a:avLst/>
                    </a:prstGeom>
                    <a:noFill/>
                  </pic:spPr>
                </pic:pic>
              </a:graphicData>
            </a:graphic>
          </wp:inline>
        </w:drawing>
      </w:r>
    </w:p>
    <w:p>
      <w:pPr>
        <w:ind w:left="420" w:leftChars="0" w:firstLine="424" w:firstLineChars="202"/>
      </w:pPr>
      <w:r>
        <w:rPr>
          <w:rFonts w:hint="eastAsia"/>
          <w:color w:val="333333"/>
        </w:rPr>
        <w:t>分行业看，6月份，41个大类行业中有26个行业增加值保持同比增长。汽车制造业增长13.4%</w:t>
      </w:r>
      <w:r>
        <w:rPr>
          <w:rFonts w:hint="eastAsia" w:ascii="宋体" w:hAnsi="宋体" w:cs="宋体"/>
          <w:color w:val="333333"/>
          <w:kern w:val="0"/>
          <w:sz w:val="24"/>
        </w:rPr>
        <w:t>；</w:t>
      </w:r>
    </w:p>
    <w:p>
      <w:pPr>
        <w:ind w:left="420" w:leftChars="0" w:firstLine="424" w:firstLineChars="202"/>
        <w:rPr>
          <w:color w:val="000000"/>
          <w:sz w:val="20"/>
        </w:rPr>
      </w:pPr>
      <w:r>
        <w:rPr>
          <w:rFonts w:hint="eastAsia"/>
          <w:color w:val="000000"/>
          <w:szCs w:val="21"/>
        </w:rPr>
        <w:t>今年</w:t>
      </w:r>
      <w:r>
        <w:rPr>
          <w:b/>
          <w:color w:val="000000"/>
          <w:szCs w:val="21"/>
        </w:rPr>
        <w:t>6月</w:t>
      </w:r>
      <w:r>
        <w:rPr>
          <w:rFonts w:hint="eastAsia"/>
          <w:color w:val="000000"/>
          <w:szCs w:val="21"/>
        </w:rPr>
        <w:t>的汽车生产</w:t>
      </w:r>
      <w:r>
        <w:rPr>
          <w:color w:val="000000"/>
          <w:szCs w:val="21"/>
        </w:rPr>
        <w:t>231</w:t>
      </w:r>
      <w:r>
        <w:rPr>
          <w:rFonts w:hint="eastAsia"/>
          <w:color w:val="000000"/>
          <w:szCs w:val="21"/>
        </w:rPr>
        <w:t>万台增长2</w:t>
      </w:r>
      <w:r>
        <w:rPr>
          <w:color w:val="000000"/>
          <w:szCs w:val="21"/>
        </w:rPr>
        <w:t>0</w:t>
      </w:r>
      <w:r>
        <w:rPr>
          <w:rFonts w:hint="eastAsia"/>
          <w:color w:val="000000"/>
          <w:szCs w:val="21"/>
        </w:rPr>
        <w:t>%是较大的增幅，其中轿车的增速5%，也是去年的特殊因素的影响的高增长。</w:t>
      </w:r>
    </w:p>
    <w:p>
      <w:pPr>
        <w:ind w:firstLine="424" w:firstLineChars="202"/>
        <w:rPr>
          <w:color w:val="000000"/>
        </w:rPr>
      </w:pPr>
    </w:p>
    <w:p>
      <w:pPr>
        <w:keepNext/>
        <w:keepLines/>
        <w:numPr>
          <w:ilvl w:val="0"/>
          <w:numId w:val="2"/>
        </w:numPr>
        <w:spacing w:line="416" w:lineRule="auto"/>
        <w:ind w:left="840" w:leftChars="0"/>
        <w:outlineLvl w:val="1"/>
        <w:rPr>
          <w:rFonts w:ascii="黑体" w:hAnsi="宋体" w:eastAsia="黑体"/>
          <w:b/>
          <w:bCs/>
          <w:color w:val="FF0000"/>
          <w:sz w:val="24"/>
        </w:rPr>
      </w:pPr>
      <w:r>
        <w:rPr>
          <w:rFonts w:ascii="黑体" w:hAnsi="宋体" w:eastAsia="黑体"/>
          <w:b/>
          <w:bCs/>
          <w:color w:val="FF0000"/>
          <w:sz w:val="24"/>
        </w:rPr>
        <w:t>20</w:t>
      </w:r>
      <w:r>
        <w:rPr>
          <w:rFonts w:hint="eastAsia" w:ascii="黑体" w:hAnsi="宋体" w:eastAsia="黑体"/>
          <w:b/>
          <w:bCs/>
          <w:color w:val="FF0000"/>
          <w:sz w:val="24"/>
        </w:rPr>
        <w:t>年汽车增加值低位起步</w:t>
      </w:r>
    </w:p>
    <w:p>
      <w:pPr>
        <w:ind w:firstLine="699" w:firstLineChars="333"/>
      </w:pPr>
      <w:r>
        <w:drawing>
          <wp:inline distT="0" distB="0" distL="0" distR="0">
            <wp:extent cx="5090795" cy="30175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090795" cy="3017520"/>
                    </a:xfrm>
                    <a:prstGeom prst="rect">
                      <a:avLst/>
                    </a:prstGeom>
                    <a:noFill/>
                  </pic:spPr>
                </pic:pic>
              </a:graphicData>
            </a:graphic>
          </wp:inline>
        </w:drawing>
      </w:r>
    </w:p>
    <w:p>
      <w:pPr>
        <w:ind w:left="420" w:leftChars="0" w:firstLine="424" w:firstLineChars="202"/>
        <w:rPr>
          <w:color w:val="333333"/>
          <w:szCs w:val="21"/>
        </w:rPr>
      </w:pPr>
      <w:r>
        <w:rPr>
          <w:rFonts w:hint="eastAsia"/>
          <w:color w:val="333333"/>
          <w:szCs w:val="21"/>
        </w:rPr>
        <w:t>6月份，规模以上工业增加值同比实际增长4.4%，增速较4月份回升0.5个百分点。从环比看，6月份，规模以上工业增加值比上月增长1.53%。1—6月份，规模以上工业增加值同比下降2.8%。，</w:t>
      </w:r>
    </w:p>
    <w:p>
      <w:pPr>
        <w:ind w:left="420" w:leftChars="0" w:firstLine="424" w:firstLineChars="202"/>
        <w:rPr>
          <w:szCs w:val="21"/>
        </w:rPr>
      </w:pPr>
      <w:r>
        <w:rPr>
          <w:color w:val="333333"/>
          <w:szCs w:val="21"/>
        </w:rPr>
        <w:t>20年</w:t>
      </w:r>
      <w:r>
        <w:rPr>
          <w:b/>
          <w:color w:val="333333"/>
          <w:szCs w:val="21"/>
        </w:rPr>
        <w:t>6月</w:t>
      </w:r>
      <w:r>
        <w:rPr>
          <w:rFonts w:hint="eastAsia"/>
          <w:szCs w:val="21"/>
        </w:rPr>
        <w:t>的汽车增加值</w:t>
      </w:r>
      <w:r>
        <w:rPr>
          <w:szCs w:val="21"/>
        </w:rPr>
        <w:t>13</w:t>
      </w:r>
      <w:r>
        <w:rPr>
          <w:rFonts w:hint="eastAsia"/>
          <w:szCs w:val="21"/>
        </w:rPr>
        <w:t>%，处近期高位，好于去年走势。1</w:t>
      </w:r>
      <w:r>
        <w:rPr>
          <w:szCs w:val="21"/>
        </w:rPr>
        <w:t>8</w:t>
      </w:r>
      <w:r>
        <w:rPr>
          <w:rFonts w:hint="eastAsia"/>
          <w:szCs w:val="21"/>
        </w:rPr>
        <w:t>年</w:t>
      </w:r>
      <w:r>
        <w:rPr>
          <w:rFonts w:hint="eastAsia"/>
          <w:color w:val="333333"/>
          <w:szCs w:val="21"/>
        </w:rPr>
        <w:t>汽车业增加值</w:t>
      </w:r>
      <w:r>
        <w:rPr>
          <w:rFonts w:hint="eastAsia"/>
          <w:szCs w:val="21"/>
        </w:rPr>
        <w:t>增</w:t>
      </w:r>
      <w:r>
        <w:rPr>
          <w:szCs w:val="21"/>
        </w:rPr>
        <w:t>5</w:t>
      </w:r>
      <w:r>
        <w:rPr>
          <w:rFonts w:hint="eastAsia"/>
          <w:szCs w:val="21"/>
        </w:rPr>
        <w:t>%.,19年</w:t>
      </w:r>
      <w:r>
        <w:rPr>
          <w:rFonts w:hint="eastAsia"/>
          <w:color w:val="333333"/>
          <w:szCs w:val="21"/>
        </w:rPr>
        <w:t>汽车业增加值1</w:t>
      </w:r>
      <w:r>
        <w:rPr>
          <w:color w:val="333333"/>
          <w:szCs w:val="21"/>
        </w:rPr>
        <w:t>.8%,</w:t>
      </w:r>
      <w:r>
        <w:rPr>
          <w:rFonts w:hint="eastAsia"/>
          <w:color w:val="333333"/>
          <w:szCs w:val="21"/>
        </w:rPr>
        <w:t>是低于制造业增加值平均水平，今年增速回升，为制造业稳增长贡献较大。</w:t>
      </w:r>
    </w:p>
    <w:p>
      <w:pPr>
        <w:ind w:firstLine="424" w:firstLineChars="202"/>
      </w:pPr>
    </w:p>
    <w:p>
      <w:pPr>
        <w:keepNext/>
        <w:keepLines/>
        <w:numPr>
          <w:ilvl w:val="0"/>
          <w:numId w:val="2"/>
        </w:numPr>
        <w:spacing w:line="416" w:lineRule="auto"/>
        <w:ind w:left="840" w:leftChars="0"/>
        <w:outlineLvl w:val="1"/>
        <w:rPr>
          <w:rFonts w:ascii="黑体" w:hAnsi="宋体" w:eastAsia="黑体"/>
          <w:b/>
          <w:bCs/>
          <w:color w:val="FF0000"/>
          <w:sz w:val="24"/>
        </w:rPr>
      </w:pPr>
      <w:r>
        <w:rPr>
          <w:rFonts w:ascii="黑体" w:hAnsi="宋体" w:eastAsia="黑体"/>
          <w:b/>
          <w:bCs/>
          <w:color w:val="FF0000"/>
          <w:sz w:val="24"/>
        </w:rPr>
        <w:t>6月</w:t>
      </w:r>
      <w:r>
        <w:rPr>
          <w:rFonts w:hint="eastAsia" w:ascii="黑体" w:hAnsi="宋体" w:eastAsia="黑体"/>
          <w:b/>
          <w:bCs/>
          <w:color w:val="FF0000"/>
          <w:sz w:val="24"/>
        </w:rPr>
        <w:t>新能源汽车生产</w:t>
      </w:r>
      <w:r>
        <w:rPr>
          <w:rFonts w:ascii="黑体" w:hAnsi="宋体" w:eastAsia="黑体"/>
          <w:b/>
          <w:bCs/>
          <w:color w:val="FF0000"/>
          <w:sz w:val="24"/>
        </w:rPr>
        <w:t>7.7</w:t>
      </w:r>
      <w:r>
        <w:rPr>
          <w:rFonts w:hint="eastAsia" w:ascii="黑体" w:hAnsi="宋体" w:eastAsia="黑体"/>
          <w:b/>
          <w:bCs/>
          <w:color w:val="FF0000"/>
          <w:sz w:val="24"/>
        </w:rPr>
        <w:t>万降</w:t>
      </w:r>
      <w:r>
        <w:rPr>
          <w:rFonts w:ascii="黑体" w:hAnsi="宋体" w:eastAsia="黑体"/>
          <w:b/>
          <w:bCs/>
          <w:color w:val="FF0000"/>
          <w:sz w:val="24"/>
        </w:rPr>
        <w:t>17</w:t>
      </w:r>
      <w:r>
        <w:rPr>
          <w:rFonts w:hint="eastAsia" w:ascii="黑体" w:hAnsi="宋体" w:eastAsia="黑体"/>
          <w:b/>
          <w:bCs/>
          <w:color w:val="FF0000"/>
          <w:sz w:val="24"/>
        </w:rPr>
        <w:t>%</w:t>
      </w:r>
    </w:p>
    <w:p>
      <w:pPr>
        <w:wordWrap w:val="0"/>
        <w:spacing w:line="375" w:lineRule="atLeast"/>
        <w:ind w:firstLine="420" w:firstLineChars="0"/>
        <w:rPr>
          <w:color w:val="333333"/>
        </w:rPr>
      </w:pPr>
      <w:r>
        <w:rPr>
          <w:color w:val="333333"/>
        </w:rPr>
        <w:t>  </w:t>
      </w:r>
      <w:r>
        <w:rPr>
          <w:rFonts w:ascii="宋体" w:hAnsi="宋体" w:cs="宋体"/>
          <w:color w:val="333333"/>
          <w:kern w:val="0"/>
          <w:sz w:val="18"/>
          <w:szCs w:val="18"/>
        </w:rPr>
        <w:drawing>
          <wp:inline distT="0" distB="0" distL="0" distR="0">
            <wp:extent cx="5478780" cy="3116580"/>
            <wp:effectExtent l="0" t="0" r="762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478780" cy="3116580"/>
                    </a:xfrm>
                    <a:prstGeom prst="rect">
                      <a:avLst/>
                    </a:prstGeom>
                    <a:noFill/>
                    <a:ln>
                      <a:noFill/>
                    </a:ln>
                  </pic:spPr>
                </pic:pic>
              </a:graphicData>
            </a:graphic>
          </wp:inline>
        </w:drawing>
      </w:r>
    </w:p>
    <w:p>
      <w:pPr>
        <w:ind w:left="420" w:leftChars="0" w:firstLine="426" w:firstLineChars="202"/>
        <w:rPr>
          <w:color w:val="333333"/>
        </w:rPr>
      </w:pPr>
      <w:r>
        <w:rPr>
          <w:rFonts w:hint="eastAsia"/>
          <w:b/>
          <w:color w:val="333333"/>
        </w:rPr>
        <w:t>分产品看，6月份，612种产品中有355种产品同比增长。汽车231.1万辆，增长20.4%，其中，新能源汽车11.4万辆，下降18.6%；</w:t>
      </w:r>
      <w:r>
        <w:rPr>
          <w:rFonts w:hint="eastAsia"/>
          <w:color w:val="333333"/>
        </w:rPr>
        <w:t>。考虑到</w:t>
      </w:r>
      <w:r>
        <w:rPr>
          <w:color w:val="333333"/>
        </w:rPr>
        <w:t>19</w:t>
      </w:r>
      <w:r>
        <w:rPr>
          <w:rFonts w:hint="eastAsia"/>
          <w:color w:val="333333"/>
        </w:rPr>
        <w:t>年</w:t>
      </w:r>
      <w:r>
        <w:rPr>
          <w:b/>
          <w:color w:val="333333"/>
        </w:rPr>
        <w:t>6月</w:t>
      </w:r>
      <w:r>
        <w:rPr>
          <w:rFonts w:hint="eastAsia"/>
          <w:color w:val="333333"/>
        </w:rPr>
        <w:t>的</w:t>
      </w:r>
      <w:r>
        <w:rPr>
          <w:color w:val="333333"/>
        </w:rPr>
        <w:t>6</w:t>
      </w:r>
      <w:r>
        <w:rPr>
          <w:rFonts w:hint="eastAsia"/>
          <w:color w:val="333333"/>
        </w:rPr>
        <w:t>万的较低增速，今年增速的表现相对较好。</w:t>
      </w:r>
    </w:p>
    <w:p>
      <w:pPr>
        <w:ind w:firstLine="777" w:firstLineChars="432"/>
        <w:rPr>
          <w:color w:val="333333"/>
        </w:rPr>
      </w:pPr>
      <w:r>
        <w:rPr>
          <w:rFonts w:ascii="宋体" w:hAnsi="宋体" w:cs="宋体"/>
          <w:color w:val="333333"/>
          <w:kern w:val="0"/>
          <w:sz w:val="18"/>
          <w:szCs w:val="18"/>
        </w:rPr>
        <w:drawing>
          <wp:inline distT="0" distB="0" distL="0" distR="0">
            <wp:extent cx="5478780" cy="2987040"/>
            <wp:effectExtent l="0" t="0" r="762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78780" cy="2987040"/>
                    </a:xfrm>
                    <a:prstGeom prst="rect">
                      <a:avLst/>
                    </a:prstGeom>
                    <a:noFill/>
                    <a:ln>
                      <a:noFill/>
                    </a:ln>
                  </pic:spPr>
                </pic:pic>
              </a:graphicData>
            </a:graphic>
          </wp:inline>
        </w:drawing>
      </w:r>
    </w:p>
    <w:p>
      <w:pPr>
        <w:ind w:left="420" w:leftChars="0" w:firstLine="426" w:firstLineChars="202"/>
        <w:jc w:val="left"/>
      </w:pPr>
      <w:r>
        <w:rPr>
          <w:b/>
          <w:color w:val="333333"/>
        </w:rPr>
        <w:t>6月</w:t>
      </w:r>
      <w:r>
        <w:rPr>
          <w:rFonts w:hint="eastAsia"/>
          <w:color w:val="333333"/>
        </w:rPr>
        <w:t>份日均轿车生产</w:t>
      </w:r>
      <w:r>
        <w:rPr>
          <w:color w:val="333333"/>
        </w:rPr>
        <w:t>2.9</w:t>
      </w:r>
      <w:r>
        <w:rPr>
          <w:rFonts w:hint="eastAsia"/>
          <w:color w:val="333333"/>
        </w:rPr>
        <w:t>万台，同比增长</w:t>
      </w:r>
      <w:r>
        <w:rPr>
          <w:color w:val="333333"/>
        </w:rPr>
        <w:t>4.9</w:t>
      </w:r>
      <w:r>
        <w:rPr>
          <w:rFonts w:hint="eastAsia"/>
          <w:color w:val="333333"/>
        </w:rPr>
        <w:t>%。轿车去年</w:t>
      </w:r>
      <w:r>
        <w:rPr>
          <w:color w:val="333333"/>
        </w:rPr>
        <w:t>6月</w:t>
      </w:r>
      <w:r>
        <w:rPr>
          <w:rFonts w:hint="eastAsia"/>
          <w:color w:val="333333"/>
        </w:rPr>
        <w:t>日均</w:t>
      </w:r>
      <w:r>
        <w:rPr>
          <w:color w:val="333333"/>
        </w:rPr>
        <w:t>2.7</w:t>
      </w:r>
      <w:r>
        <w:rPr>
          <w:rFonts w:hint="eastAsia"/>
          <w:color w:val="333333"/>
        </w:rPr>
        <w:t>万台。今年由于市场需求回暖，</w:t>
      </w:r>
      <w:r>
        <w:rPr>
          <w:color w:val="333333"/>
        </w:rPr>
        <w:t>6月</w:t>
      </w:r>
      <w:r>
        <w:rPr>
          <w:rFonts w:hint="eastAsia"/>
          <w:color w:val="333333"/>
        </w:rPr>
        <w:t>生产走走强较好。。</w:t>
      </w:r>
    </w:p>
    <w:p>
      <w:pPr>
        <w:jc w:val="left"/>
      </w:pPr>
    </w:p>
    <w:p>
      <w:pPr>
        <w:ind w:left="420" w:leftChars="0" w:firstLine="424" w:firstLineChars="202"/>
      </w:pPr>
      <w:r>
        <w:drawing>
          <wp:inline distT="0" distB="0" distL="0" distR="0">
            <wp:extent cx="4739640" cy="234696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739640" cy="2346960"/>
                    </a:xfrm>
                    <a:prstGeom prst="rect">
                      <a:avLst/>
                    </a:prstGeom>
                    <a:noFill/>
                    <a:ln>
                      <a:noFill/>
                    </a:ln>
                  </pic:spPr>
                </pic:pic>
              </a:graphicData>
            </a:graphic>
          </wp:inline>
        </w:drawing>
      </w:r>
    </w:p>
    <w:p>
      <w:pPr>
        <w:ind w:left="420" w:leftChars="0" w:firstLine="422" w:firstLineChars="201"/>
        <w:rPr>
          <w:bCs/>
        </w:rPr>
      </w:pPr>
      <w:r>
        <w:rPr>
          <w:rFonts w:hint="eastAsia"/>
          <w:bCs/>
        </w:rPr>
        <w:t>近两年商用车强，乘用车弱。</w:t>
      </w:r>
      <w:r>
        <w:rPr>
          <w:bCs/>
        </w:rPr>
        <w:t>19年</w:t>
      </w:r>
      <w:r>
        <w:rPr>
          <w:rFonts w:hint="eastAsia"/>
          <w:bCs/>
        </w:rPr>
        <w:t>消费结构进一步不利于消费，轿车生产增速偏低，弱于汽车平均增速，SU</w:t>
      </w:r>
      <w:r>
        <w:rPr>
          <w:bCs/>
        </w:rPr>
        <w:t>V</w:t>
      </w:r>
      <w:r>
        <w:rPr>
          <w:rFonts w:hint="eastAsia"/>
          <w:bCs/>
        </w:rPr>
        <w:t>的生产增速低于汽车总体增速，成为抑制消费的低迷因素。</w:t>
      </w:r>
    </w:p>
    <w:p>
      <w:pPr>
        <w:ind w:left="420" w:leftChars="0" w:firstLine="422" w:firstLineChars="201"/>
      </w:pPr>
      <w:r>
        <w:rPr>
          <w:rFonts w:hint="eastAsia"/>
        </w:rPr>
        <w:t>1</w:t>
      </w:r>
      <w:r>
        <w:t>8</w:t>
      </w:r>
      <w:r>
        <w:rPr>
          <w:rFonts w:hint="eastAsia"/>
        </w:rPr>
        <w:t>年全年生产新能源车</w:t>
      </w:r>
      <w:r>
        <w:t>130</w:t>
      </w:r>
      <w:r>
        <w:rPr>
          <w:rFonts w:hint="eastAsia"/>
        </w:rPr>
        <w:t>万台，较1</w:t>
      </w:r>
      <w:r>
        <w:t>7</w:t>
      </w:r>
      <w:r>
        <w:rPr>
          <w:rFonts w:hint="eastAsia"/>
        </w:rPr>
        <w:t>年增</w:t>
      </w:r>
      <w:r>
        <w:t>4</w:t>
      </w:r>
      <w:r>
        <w:rPr>
          <w:rFonts w:hint="eastAsia"/>
        </w:rPr>
        <w:t>成。。</w:t>
      </w:r>
      <w:r>
        <w:t>18年</w:t>
      </w:r>
      <w:r>
        <w:rPr>
          <w:rFonts w:hint="eastAsia"/>
        </w:rPr>
        <w:t>新能源乘用车10</w:t>
      </w:r>
      <w:r>
        <w:t>0</w:t>
      </w:r>
      <w:r>
        <w:rPr>
          <w:rFonts w:hint="eastAsia"/>
        </w:rPr>
        <w:t>万，继续保持较强的高增长走势。19年生产</w:t>
      </w:r>
      <w:r>
        <w:t>119</w:t>
      </w:r>
      <w:r>
        <w:rPr>
          <w:rFonts w:hint="eastAsia"/>
        </w:rPr>
        <w:t>万台新能源车，增速</w:t>
      </w:r>
      <w:r>
        <w:t>-1</w:t>
      </w:r>
      <w:r>
        <w:rPr>
          <w:rFonts w:hint="eastAsia"/>
        </w:rPr>
        <w:t>%的偏弱。。</w:t>
      </w:r>
      <w:r>
        <w:t>20</w:t>
      </w:r>
      <w:r>
        <w:rPr>
          <w:rFonts w:hint="eastAsia"/>
        </w:rPr>
        <w:t>年1-</w:t>
      </w:r>
      <w:r>
        <w:t>6月</w:t>
      </w:r>
      <w:r>
        <w:rPr>
          <w:rFonts w:hint="eastAsia"/>
        </w:rPr>
        <w:t>生产</w:t>
      </w:r>
      <w:r>
        <w:t>40</w:t>
      </w:r>
      <w:r>
        <w:rPr>
          <w:rFonts w:hint="eastAsia"/>
        </w:rPr>
        <w:t>万台新能源车，增速</w:t>
      </w:r>
      <w:r>
        <w:t>-19</w:t>
      </w:r>
      <w:r>
        <w:rPr>
          <w:rFonts w:hint="eastAsia"/>
        </w:rPr>
        <w:t>%的偏弱。</w:t>
      </w:r>
    </w:p>
    <w:p>
      <w:pPr>
        <w:keepNext/>
        <w:keepLines/>
        <w:numPr>
          <w:ilvl w:val="0"/>
          <w:numId w:val="2"/>
        </w:numPr>
        <w:spacing w:line="416" w:lineRule="auto"/>
        <w:ind w:left="840" w:leftChars="0"/>
        <w:outlineLvl w:val="1"/>
        <w:rPr>
          <w:rFonts w:ascii="黑体" w:hAnsi="宋体" w:eastAsia="黑体"/>
          <w:b/>
          <w:bCs/>
          <w:color w:val="FF0000"/>
          <w:sz w:val="24"/>
        </w:rPr>
      </w:pPr>
      <w:r>
        <w:rPr>
          <w:rFonts w:ascii="黑体" w:hAnsi="宋体" w:eastAsia="黑体"/>
          <w:b/>
          <w:bCs/>
          <w:color w:val="FF0000"/>
          <w:sz w:val="24"/>
        </w:rPr>
        <w:t>20年6月</w:t>
      </w:r>
      <w:r>
        <w:rPr>
          <w:rFonts w:hint="eastAsia" w:ascii="黑体" w:hAnsi="宋体" w:eastAsia="黑体"/>
          <w:b/>
          <w:bCs/>
          <w:color w:val="FF0000"/>
          <w:sz w:val="24"/>
        </w:rPr>
        <w:t>汽车投资力度负增长</w:t>
      </w:r>
    </w:p>
    <w:p>
      <w:pPr>
        <w:ind w:firstLine="420" w:firstLineChars="0"/>
      </w:pPr>
      <w:r>
        <w:drawing>
          <wp:inline distT="0" distB="0" distL="0" distR="0">
            <wp:extent cx="4328795" cy="31699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328795" cy="3169920"/>
                    </a:xfrm>
                    <a:prstGeom prst="rect">
                      <a:avLst/>
                    </a:prstGeom>
                    <a:noFill/>
                  </pic:spPr>
                </pic:pic>
              </a:graphicData>
            </a:graphic>
          </wp:inline>
        </w:drawing>
      </w:r>
    </w:p>
    <w:p>
      <w:pPr>
        <w:spacing w:line="375" w:lineRule="atLeast"/>
        <w:ind w:left="420" w:leftChars="0" w:firstLine="424" w:firstLineChars="202"/>
      </w:pPr>
      <w:r>
        <w:rPr>
          <w:rFonts w:hint="eastAsia"/>
        </w:rPr>
        <w:t>1—6月份，全国固定资产投资（不含农户）281603亿元，同比下降3.1%，降幅比1—5月份收窄3.2个百分点。。</w:t>
      </w:r>
    </w:p>
    <w:p>
      <w:pPr>
        <w:spacing w:line="375" w:lineRule="atLeast"/>
        <w:ind w:left="420" w:leftChars="0" w:firstLine="424" w:firstLineChars="202"/>
      </w:pPr>
      <w:r>
        <w:t>2020</w:t>
      </w:r>
      <w:r>
        <w:rPr>
          <w:rFonts w:hint="eastAsia"/>
        </w:rPr>
        <w:t>年</w:t>
      </w:r>
      <w:r>
        <w:t>6月</w:t>
      </w:r>
      <w:r>
        <w:rPr>
          <w:rFonts w:hint="eastAsia"/>
        </w:rPr>
        <w:t>汽车投资回暖明显， 新能源降温导致汽车行业投资低迷问题逐步改善</w:t>
      </w:r>
      <w:r>
        <w:rPr>
          <w:rFonts w:hint="eastAsia"/>
          <w:szCs w:val="21"/>
        </w:rPr>
        <w:t>。</w:t>
      </w:r>
    </w:p>
    <w:p>
      <w:pPr>
        <w:pStyle w:val="2"/>
        <w:spacing w:before="0" w:after="0"/>
        <w:ind w:firstLine="420" w:firstLineChars="0"/>
        <w:rPr>
          <w:rFonts w:ascii="黑体" w:eastAsia="黑体"/>
          <w:color w:val="000000"/>
          <w:sz w:val="28"/>
          <w:szCs w:val="28"/>
        </w:rPr>
      </w:pPr>
      <w:r>
        <w:rPr>
          <w:rFonts w:hint="eastAsia" w:ascii="黑体" w:eastAsia="黑体"/>
          <w:color w:val="000000"/>
          <w:sz w:val="28"/>
          <w:szCs w:val="28"/>
        </w:rPr>
        <w:t>四、汽车集团和企业走势</w:t>
      </w:r>
      <w:bookmarkEnd w:id="22"/>
      <w:bookmarkEnd w:id="23"/>
      <w:bookmarkEnd w:id="24"/>
      <w:bookmarkEnd w:id="25"/>
    </w:p>
    <w:p>
      <w:pPr>
        <w:ind w:left="420" w:leftChars="0" w:firstLine="424" w:firstLineChars="202"/>
        <w:rPr>
          <w:rFonts w:ascii="宋体" w:hAnsi="宋体"/>
        </w:rPr>
      </w:pPr>
      <w:r>
        <w:rPr>
          <w:rFonts w:hint="eastAsia" w:ascii="宋体" w:hAnsi="宋体"/>
        </w:rPr>
        <w:t>今年的车市呈现乘用车市场弱，卡车市场强的乘弱卡强特征。尤其是</w:t>
      </w:r>
      <w:r>
        <w:rPr>
          <w:rFonts w:ascii="宋体" w:hAnsi="宋体"/>
        </w:rPr>
        <w:t>4-5月的卡车市场销量同比增长分别达到33%和53%，</w:t>
      </w:r>
      <w:r>
        <w:rPr>
          <w:rFonts w:hint="eastAsia" w:ascii="宋体" w:hAnsi="宋体"/>
        </w:rPr>
        <w:t>6月卡车仍保持保增长，这明显体现</w:t>
      </w:r>
      <w:r>
        <w:rPr>
          <w:rFonts w:ascii="宋体" w:hAnsi="宋体"/>
        </w:rPr>
        <w:t>汽车市场的生产与消费类市场脱节特征。</w:t>
      </w:r>
    </w:p>
    <w:p>
      <w:pPr>
        <w:ind w:left="420" w:leftChars="0" w:firstLine="424" w:firstLineChars="202"/>
        <w:rPr>
          <w:rFonts w:ascii="宋体" w:hAnsi="宋体"/>
        </w:rPr>
      </w:pPr>
      <w:r>
        <w:rPr>
          <w:rFonts w:hint="eastAsia" w:ascii="宋体" w:hAnsi="宋体"/>
        </w:rPr>
        <w:t>第三是地方发债刺激基建。今年全年国债、特别国债和地方债发行额加总达到约</w:t>
      </w:r>
      <w:r>
        <w:rPr>
          <w:rFonts w:ascii="宋体" w:hAnsi="宋体"/>
        </w:rPr>
        <w:t>8.5万亿元。发行进度与2018、2019对比，今年的地方债提前下达金额数较大，</w:t>
      </w:r>
      <w:r>
        <w:rPr>
          <w:rFonts w:hint="eastAsia" w:ascii="宋体" w:hAnsi="宋体"/>
        </w:rPr>
        <w:t>进度</w:t>
      </w:r>
      <w:r>
        <w:rPr>
          <w:rFonts w:ascii="宋体" w:hAnsi="宋体"/>
        </w:rPr>
        <w:t>明显快于2018年和2019年。</w:t>
      </w:r>
      <w:r>
        <w:rPr>
          <w:rFonts w:hint="eastAsia" w:ascii="宋体" w:hAnsi="宋体"/>
        </w:rPr>
        <w:t>专项债的大规模发行、使用，对稳投资、稳经济起到了重要作用。地方债资金主要投向各类工程和基础设施项目，刺激基建、工程类车辆和工程机械进入上升周期。</w:t>
      </w:r>
    </w:p>
    <w:p>
      <w:pPr>
        <w:ind w:left="420" w:leftChars="0" w:firstLine="424" w:firstLineChars="202"/>
        <w:rPr>
          <w:rFonts w:ascii="宋体" w:hAnsi="宋体"/>
        </w:rPr>
      </w:pPr>
      <w:r>
        <w:rPr>
          <w:rFonts w:hint="eastAsia" w:ascii="宋体" w:hAnsi="宋体"/>
        </w:rPr>
        <w:t>同时，今年的治理超载力度仍较大，营运客户需要购买适应新法规标准的新车。</w:t>
      </w:r>
    </w:p>
    <w:p>
      <w:pPr>
        <w:ind w:firstLine="424" w:firstLineChars="202"/>
      </w:pPr>
    </w:p>
    <w:p>
      <w:pPr>
        <w:ind w:firstLine="420" w:firstLineChars="0"/>
        <w:outlineLvl w:val="1"/>
        <w:rPr>
          <w:b/>
          <w:bCs/>
          <w:color w:val="FF0000"/>
        </w:rPr>
      </w:pPr>
      <w:bookmarkStart w:id="26" w:name="_Toc285960529"/>
      <w:bookmarkStart w:id="27" w:name="_Toc285960424"/>
      <w:bookmarkStart w:id="28" w:name="_Toc285961914"/>
      <w:bookmarkStart w:id="29" w:name="_Toc285960739"/>
      <w:r>
        <w:rPr>
          <w:b/>
          <w:bCs/>
          <w:color w:val="FF0000"/>
        </w:rPr>
        <w:t>1</w:t>
      </w:r>
      <w:r>
        <w:rPr>
          <w:rFonts w:hint="eastAsia"/>
          <w:b/>
          <w:bCs/>
          <w:color w:val="FF0000"/>
        </w:rPr>
        <w:t>、</w:t>
      </w:r>
      <w:r>
        <w:rPr>
          <w:b/>
          <w:bCs/>
          <w:color w:val="FF0000"/>
        </w:rPr>
        <w:t>20</w:t>
      </w:r>
      <w:r>
        <w:rPr>
          <w:rFonts w:hint="eastAsia"/>
          <w:b/>
          <w:bCs/>
          <w:color w:val="FF0000"/>
        </w:rPr>
        <w:t>年汽车商强乘弱局面稍有改变</w:t>
      </w:r>
    </w:p>
    <w:p>
      <w:pPr>
        <w:ind w:firstLine="957" w:firstLineChars="456"/>
        <w:rPr>
          <w:color w:val="000000"/>
        </w:rPr>
      </w:pPr>
      <w:r>
        <w:rPr>
          <w:color w:val="000000"/>
        </w:rPr>
        <w:drawing>
          <wp:inline distT="0" distB="0" distL="0" distR="0">
            <wp:extent cx="6606540" cy="3822700"/>
            <wp:effectExtent l="0" t="0" r="381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606540" cy="3822700"/>
                    </a:xfrm>
                    <a:prstGeom prst="rect">
                      <a:avLst/>
                    </a:prstGeom>
                    <a:noFill/>
                  </pic:spPr>
                </pic:pic>
              </a:graphicData>
            </a:graphic>
          </wp:inline>
        </w:drawing>
      </w:r>
    </w:p>
    <w:p>
      <w:pPr>
        <w:ind w:firstLine="957" w:firstLineChars="456"/>
        <w:rPr>
          <w:color w:val="000000"/>
          <w:szCs w:val="21"/>
        </w:rPr>
      </w:pPr>
      <w:r>
        <w:rPr>
          <w:rFonts w:hint="eastAsia"/>
          <w:color w:val="000000"/>
          <w:szCs w:val="21"/>
        </w:rPr>
        <w:t>自2017年以来，乘用车市场相对持续走弱，而商车市场相对持续走强，这是政策推动商用车走强，而消费不旺导致乘车需求低迷。今年的政策主要支持卡车市场，历次的对乘用车支持政策没有推出。</w:t>
      </w:r>
    </w:p>
    <w:p>
      <w:pPr>
        <w:ind w:firstLine="539" w:firstLineChars="257"/>
        <w:rPr>
          <w:color w:val="000000"/>
          <w:szCs w:val="21"/>
        </w:rPr>
      </w:pPr>
    </w:p>
    <w:p>
      <w:pPr>
        <w:ind w:firstLine="420" w:firstLineChars="0"/>
        <w:outlineLvl w:val="1"/>
        <w:rPr>
          <w:b/>
          <w:bCs/>
          <w:color w:val="FF0000"/>
          <w:szCs w:val="21"/>
        </w:rPr>
      </w:pPr>
      <w:r>
        <w:rPr>
          <w:b/>
          <w:bCs/>
          <w:color w:val="FF0000"/>
          <w:szCs w:val="21"/>
        </w:rPr>
        <w:t>2</w:t>
      </w:r>
      <w:r>
        <w:rPr>
          <w:rFonts w:hint="eastAsia"/>
          <w:b/>
          <w:bCs/>
          <w:color w:val="FF0000"/>
          <w:szCs w:val="21"/>
        </w:rPr>
        <w:t>、</w:t>
      </w:r>
      <w:r>
        <w:rPr>
          <w:b/>
          <w:bCs/>
          <w:color w:val="FF0000"/>
          <w:szCs w:val="21"/>
        </w:rPr>
        <w:t>20</w:t>
      </w:r>
      <w:r>
        <w:rPr>
          <w:rFonts w:hint="eastAsia"/>
          <w:b/>
          <w:bCs/>
          <w:color w:val="FF0000"/>
          <w:szCs w:val="21"/>
        </w:rPr>
        <w:t>年汽车市场增长较强</w:t>
      </w:r>
    </w:p>
    <w:p>
      <w:pPr>
        <w:ind w:firstLine="957" w:firstLineChars="456"/>
        <w:rPr>
          <w:color w:val="000000"/>
          <w:szCs w:val="21"/>
        </w:rPr>
      </w:pPr>
      <w:r>
        <w:drawing>
          <wp:inline distT="0" distB="0" distL="0" distR="0">
            <wp:extent cx="5892800" cy="3971290"/>
            <wp:effectExtent l="0" t="0" r="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 name="图片 185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895032" cy="3972972"/>
                    </a:xfrm>
                    <a:prstGeom prst="rect">
                      <a:avLst/>
                    </a:prstGeom>
                    <a:noFill/>
                    <a:ln>
                      <a:noFill/>
                    </a:ln>
                  </pic:spPr>
                </pic:pic>
              </a:graphicData>
            </a:graphic>
          </wp:inline>
        </w:drawing>
      </w:r>
    </w:p>
    <w:p>
      <w:pPr>
        <w:widowControl/>
        <w:ind w:firstLine="913" w:firstLineChars="435"/>
        <w:rPr>
          <w:color w:val="000000"/>
          <w:szCs w:val="21"/>
        </w:rPr>
      </w:pPr>
      <w:r>
        <w:rPr>
          <w:rFonts w:hint="eastAsia" w:ascii="宋体" w:hAnsi="宋体" w:cs="宋体"/>
          <w:kern w:val="0"/>
          <w:szCs w:val="21"/>
        </w:rPr>
        <w:t>19年累汽车总计销量2576.87万台，累计增速-8.1%；12月汽车总计销量265.83万台，同比增长-0.1%，环比增长8.2%。</w:t>
      </w:r>
    </w:p>
    <w:p>
      <w:pPr>
        <w:ind w:firstLine="913" w:firstLineChars="435"/>
        <w:rPr>
          <w:color w:val="000000"/>
          <w:szCs w:val="21"/>
        </w:rPr>
      </w:pPr>
      <w:r>
        <w:rPr>
          <w:rFonts w:hint="eastAsia"/>
          <w:color w:val="000000"/>
          <w:szCs w:val="21"/>
        </w:rPr>
        <w:t>20年累汽车总计销量1023.1万台，累计增速-16.9%；6月汽车总计销量229.97万台，同比增长11.8%，环比增长4.8%。。相信2</w:t>
      </w:r>
      <w:r>
        <w:rPr>
          <w:color w:val="000000"/>
          <w:szCs w:val="21"/>
        </w:rPr>
        <w:t>020</w:t>
      </w:r>
      <w:r>
        <w:rPr>
          <w:rFonts w:hint="eastAsia"/>
          <w:color w:val="000000"/>
          <w:szCs w:val="21"/>
        </w:rPr>
        <w:t>年未来厂家的销量预计会有改善。</w:t>
      </w:r>
    </w:p>
    <w:p>
      <w:pPr>
        <w:ind w:firstLine="539" w:firstLineChars="257"/>
        <w:rPr>
          <w:color w:val="000000"/>
          <w:szCs w:val="21"/>
        </w:rPr>
      </w:pPr>
    </w:p>
    <w:p>
      <w:pPr>
        <w:ind w:firstLine="420" w:firstLineChars="0"/>
        <w:outlineLvl w:val="1"/>
        <w:rPr>
          <w:b/>
          <w:bCs/>
          <w:color w:val="FF0000"/>
          <w:szCs w:val="21"/>
        </w:rPr>
      </w:pPr>
      <w:r>
        <w:rPr>
          <w:b/>
          <w:bCs/>
          <w:color w:val="FF0000"/>
          <w:szCs w:val="21"/>
        </w:rPr>
        <w:t>3</w:t>
      </w:r>
      <w:r>
        <w:rPr>
          <w:rFonts w:hint="eastAsia"/>
          <w:b/>
          <w:bCs/>
          <w:color w:val="FF0000"/>
          <w:szCs w:val="21"/>
        </w:rPr>
        <w:t>、1-</w:t>
      </w:r>
      <w:r>
        <w:rPr>
          <w:b/>
          <w:bCs/>
          <w:color w:val="FF0000"/>
          <w:szCs w:val="21"/>
        </w:rPr>
        <w:t>6月</w:t>
      </w:r>
      <w:r>
        <w:rPr>
          <w:rFonts w:hint="eastAsia"/>
          <w:b/>
          <w:bCs/>
          <w:color w:val="FF0000"/>
          <w:szCs w:val="21"/>
        </w:rPr>
        <w:t>主力车企集团的表现均较好</w:t>
      </w:r>
    </w:p>
    <w:p>
      <w:pPr>
        <w:ind w:firstLine="420" w:firstLineChars="0"/>
        <w:rPr>
          <w:color w:val="000000"/>
          <w:szCs w:val="21"/>
        </w:rPr>
      </w:pPr>
      <w:r>
        <w:rPr>
          <w:color w:val="000000"/>
          <w:szCs w:val="21"/>
        </w:rPr>
        <w:drawing>
          <wp:inline distT="0" distB="0" distL="0" distR="0">
            <wp:extent cx="5480050" cy="3178810"/>
            <wp:effectExtent l="0" t="0" r="6350" b="254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487163" cy="3183193"/>
                    </a:xfrm>
                    <a:prstGeom prst="rect">
                      <a:avLst/>
                    </a:prstGeom>
                    <a:noFill/>
                  </pic:spPr>
                </pic:pic>
              </a:graphicData>
            </a:graphic>
          </wp:inline>
        </w:drawing>
      </w:r>
    </w:p>
    <w:p>
      <w:pPr>
        <w:ind w:firstLine="699" w:firstLineChars="333"/>
        <w:rPr>
          <w:color w:val="000000"/>
          <w:szCs w:val="21"/>
        </w:rPr>
      </w:pPr>
      <w:r>
        <w:rPr>
          <w:color w:val="000000"/>
          <w:szCs w:val="21"/>
        </w:rPr>
        <w:t>20</w:t>
      </w:r>
      <w:r>
        <w:rPr>
          <w:rFonts w:hint="eastAsia"/>
          <w:color w:val="000000"/>
          <w:szCs w:val="21"/>
        </w:rPr>
        <w:t>年车市走势不强，各集团因为优势板块的差异化市场需求而走势分化。</w:t>
      </w:r>
    </w:p>
    <w:p>
      <w:pPr>
        <w:ind w:firstLine="699" w:firstLineChars="333"/>
        <w:rPr>
          <w:color w:val="000000"/>
          <w:szCs w:val="21"/>
        </w:rPr>
      </w:pPr>
      <w:r>
        <w:rPr>
          <w:rFonts w:hint="eastAsia"/>
          <w:color w:val="000000"/>
          <w:szCs w:val="21"/>
        </w:rPr>
        <w:t>长安、一汽表现优秀，其中的卡车和乘用车版块表现均很好。</w:t>
      </w:r>
    </w:p>
    <w:p>
      <w:pPr>
        <w:ind w:firstLine="699" w:firstLineChars="333"/>
        <w:rPr>
          <w:color w:val="000000"/>
          <w:szCs w:val="21"/>
        </w:rPr>
      </w:pPr>
      <w:r>
        <w:rPr>
          <w:rFonts w:hint="eastAsia"/>
          <w:color w:val="000000"/>
          <w:szCs w:val="21"/>
        </w:rPr>
        <w:t>国有大集团表现分化，上汽、东风的表现都有压力。</w:t>
      </w:r>
    </w:p>
    <w:p>
      <w:pPr>
        <w:ind w:firstLine="699" w:firstLineChars="333"/>
        <w:rPr>
          <w:color w:val="000000"/>
          <w:szCs w:val="21"/>
        </w:rPr>
      </w:pPr>
      <w:r>
        <w:rPr>
          <w:rFonts w:hint="eastAsia"/>
          <w:color w:val="000000"/>
          <w:szCs w:val="21"/>
        </w:rPr>
        <w:t>民营自主核心企业的表现很好。长城、奇瑞和华晨的今年表现相对较强。比亚迪表现相对稳健。</w:t>
      </w:r>
    </w:p>
    <w:p>
      <w:pPr>
        <w:ind w:firstLine="699" w:firstLineChars="333"/>
        <w:rPr>
          <w:color w:val="000000"/>
          <w:szCs w:val="21"/>
        </w:rPr>
      </w:pPr>
      <w:r>
        <w:rPr>
          <w:rFonts w:hint="eastAsia"/>
          <w:color w:val="000000"/>
          <w:szCs w:val="21"/>
        </w:rPr>
        <w:t>因为新旧动能转换和新能源车持续盈利压力，自主品牌中小企业分化严重低迷。</w:t>
      </w:r>
    </w:p>
    <w:p>
      <w:pPr>
        <w:ind w:firstLine="699" w:firstLineChars="333"/>
        <w:rPr>
          <w:color w:val="000000"/>
          <w:szCs w:val="21"/>
        </w:rPr>
      </w:pPr>
      <w:r>
        <w:rPr>
          <w:color w:val="000000"/>
          <w:szCs w:val="21"/>
        </w:rPr>
        <w:drawing>
          <wp:inline distT="0" distB="0" distL="0" distR="0">
            <wp:extent cx="5930900" cy="3420110"/>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930900" cy="3420110"/>
                    </a:xfrm>
                    <a:prstGeom prst="rect">
                      <a:avLst/>
                    </a:prstGeom>
                    <a:noFill/>
                  </pic:spPr>
                </pic:pic>
              </a:graphicData>
            </a:graphic>
          </wp:inline>
        </w:drawing>
      </w:r>
    </w:p>
    <w:p>
      <w:pPr>
        <w:ind w:firstLine="283" w:firstLineChars="135"/>
        <w:rPr>
          <w:color w:val="000000"/>
          <w:szCs w:val="21"/>
        </w:rPr>
      </w:pPr>
    </w:p>
    <w:p>
      <w:pPr>
        <w:ind w:firstLine="699" w:firstLineChars="333"/>
        <w:rPr>
          <w:color w:val="000000"/>
          <w:szCs w:val="21"/>
        </w:rPr>
      </w:pPr>
      <w:r>
        <w:rPr>
          <w:rFonts w:hint="eastAsia"/>
          <w:color w:val="000000"/>
          <w:szCs w:val="21"/>
        </w:rPr>
        <w:t>近几年国有6大集团表现持续分化，三大三小的格局日益复杂，上汽和一汽东风总体表现较强。上汽前期一枝独秀，一汽和东风表现相近。</w:t>
      </w:r>
    </w:p>
    <w:p>
      <w:pPr>
        <w:ind w:firstLine="699" w:firstLineChars="333"/>
        <w:rPr>
          <w:color w:val="000000"/>
          <w:szCs w:val="21"/>
        </w:rPr>
      </w:pPr>
      <w:r>
        <w:rPr>
          <w:rFonts w:hint="eastAsia"/>
          <w:color w:val="000000"/>
          <w:szCs w:val="21"/>
        </w:rPr>
        <w:t>近期北汽表现很不错。长安去年末强，近期调整。广汽近期走势平稳。而地方国有集团的华晨表现相对较强，江淮仍有走强潜力。</w:t>
      </w:r>
    </w:p>
    <w:p>
      <w:pPr>
        <w:ind w:firstLine="699" w:firstLineChars="333"/>
        <w:rPr>
          <w:color w:val="000000"/>
          <w:szCs w:val="21"/>
        </w:rPr>
      </w:pPr>
      <w:r>
        <w:rPr>
          <w:color w:val="000000"/>
          <w:szCs w:val="21"/>
        </w:rPr>
        <w:drawing>
          <wp:inline distT="0" distB="0" distL="0" distR="0">
            <wp:extent cx="6242685" cy="4194175"/>
            <wp:effectExtent l="0" t="0" r="571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242685" cy="4194175"/>
                    </a:xfrm>
                    <a:prstGeom prst="rect">
                      <a:avLst/>
                    </a:prstGeom>
                    <a:noFill/>
                  </pic:spPr>
                </pic:pic>
              </a:graphicData>
            </a:graphic>
          </wp:inline>
        </w:drawing>
      </w:r>
    </w:p>
    <w:bookmarkEnd w:id="26"/>
    <w:bookmarkEnd w:id="27"/>
    <w:bookmarkEnd w:id="28"/>
    <w:bookmarkEnd w:id="29"/>
    <w:p>
      <w:pPr>
        <w:ind w:firstLine="772" w:firstLineChars="368"/>
        <w:rPr>
          <w:rFonts w:ascii="宋体" w:hAnsi="宋体"/>
          <w:color w:val="000000"/>
          <w:szCs w:val="21"/>
        </w:rPr>
      </w:pPr>
      <w:bookmarkStart w:id="30" w:name="_Toc285960429"/>
      <w:bookmarkStart w:id="31" w:name="_Toc285961919"/>
      <w:bookmarkStart w:id="32" w:name="_Toc285960534"/>
      <w:bookmarkStart w:id="33" w:name="_Toc285960744"/>
      <w:r>
        <w:rPr>
          <w:rFonts w:hint="eastAsia"/>
          <w:color w:val="000000"/>
          <w:szCs w:val="21"/>
        </w:rPr>
        <w:t>20</w:t>
      </w:r>
      <w:r>
        <w:rPr>
          <w:color w:val="000000"/>
          <w:szCs w:val="21"/>
        </w:rPr>
        <w:t>20</w:t>
      </w:r>
      <w:r>
        <w:rPr>
          <w:rFonts w:hint="eastAsia"/>
          <w:color w:val="000000"/>
          <w:szCs w:val="21"/>
        </w:rPr>
        <w:t>年6月车市相对较强，半年末走势分化。主力厂家大部分出现持续上涨。部分企业相对稳健，</w:t>
      </w:r>
      <w:r>
        <w:rPr>
          <w:rFonts w:ascii="宋体" w:hAnsi="宋体"/>
          <w:color w:val="000000"/>
          <w:szCs w:val="21"/>
        </w:rPr>
        <w:t xml:space="preserve"> </w:t>
      </w:r>
    </w:p>
    <w:p>
      <w:pPr>
        <w:ind w:firstLine="539" w:firstLineChars="257"/>
        <w:rPr>
          <w:color w:val="000000"/>
          <w:szCs w:val="21"/>
        </w:rPr>
      </w:pPr>
    </w:p>
    <w:p>
      <w:pPr>
        <w:ind w:left="66" w:firstLine="419" w:firstLineChars="0"/>
        <w:outlineLvl w:val="1"/>
        <w:rPr>
          <w:b/>
          <w:bCs/>
          <w:color w:val="FF0000"/>
          <w:szCs w:val="21"/>
        </w:rPr>
      </w:pPr>
      <w:r>
        <w:rPr>
          <w:rFonts w:hint="eastAsia"/>
          <w:b/>
          <w:bCs/>
          <w:color w:val="FF0000"/>
          <w:szCs w:val="21"/>
        </w:rPr>
        <w:t>4、狭义乘用车企业产销走势</w:t>
      </w:r>
    </w:p>
    <w:p>
      <w:pPr>
        <w:ind w:firstLine="700" w:firstLineChars="332"/>
        <w:rPr>
          <w:rFonts w:ascii="宋体" w:hAnsi="宋体"/>
          <w:color w:val="000000"/>
          <w:szCs w:val="21"/>
        </w:rPr>
      </w:pPr>
      <w:r>
        <w:rPr>
          <w:b/>
          <w:bCs/>
          <w:color w:val="000000"/>
          <w:szCs w:val="21"/>
        </w:rPr>
        <w:tab/>
      </w:r>
      <w:r>
        <w:drawing>
          <wp:inline distT="0" distB="0" distL="0" distR="0">
            <wp:extent cx="6978650" cy="50546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978650" cy="5054600"/>
                    </a:xfrm>
                    <a:prstGeom prst="rect">
                      <a:avLst/>
                    </a:prstGeom>
                    <a:noFill/>
                    <a:ln>
                      <a:noFill/>
                    </a:ln>
                  </pic:spPr>
                </pic:pic>
              </a:graphicData>
            </a:graphic>
          </wp:inline>
        </w:drawing>
      </w:r>
    </w:p>
    <w:p>
      <w:pPr>
        <w:ind w:firstLine="772" w:firstLineChars="368"/>
        <w:rPr>
          <w:color w:val="000000"/>
          <w:szCs w:val="21"/>
        </w:rPr>
      </w:pPr>
      <w:r>
        <w:rPr>
          <w:rFonts w:hint="eastAsia" w:ascii="宋体" w:hAnsi="宋体"/>
          <w:color w:val="000000"/>
          <w:szCs w:val="21"/>
        </w:rPr>
        <w:t>根据乘联会信息，</w:t>
      </w:r>
      <w:r>
        <w:rPr>
          <w:color w:val="000000"/>
          <w:szCs w:val="21"/>
        </w:rPr>
        <w:t>2019</w:t>
      </w:r>
      <w:r>
        <w:rPr>
          <w:rFonts w:hint="eastAsia"/>
          <w:color w:val="000000"/>
          <w:szCs w:val="21"/>
        </w:rPr>
        <w:t>年1-12月乘用车厂家批发销量增速</w:t>
      </w:r>
      <w:r>
        <w:rPr>
          <w:color w:val="000000"/>
          <w:szCs w:val="21"/>
        </w:rPr>
        <w:t>-9</w:t>
      </w:r>
      <w:r>
        <w:rPr>
          <w:rFonts w:hint="eastAsia"/>
          <w:color w:val="000000"/>
          <w:szCs w:val="21"/>
        </w:rPr>
        <w:t>%是历年最低的，弱于汽车市场走势。</w:t>
      </w:r>
    </w:p>
    <w:p>
      <w:pPr>
        <w:ind w:firstLine="772" w:firstLineChars="368"/>
        <w:rPr>
          <w:rFonts w:ascii="宋体" w:hAnsi="宋体"/>
          <w:color w:val="000000"/>
          <w:szCs w:val="21"/>
        </w:rPr>
      </w:pPr>
      <w:r>
        <w:rPr>
          <w:rFonts w:ascii="宋体" w:hAnsi="宋体"/>
          <w:color w:val="000000"/>
          <w:szCs w:val="21"/>
        </w:rPr>
        <w:t>20</w:t>
      </w:r>
      <w:r>
        <w:rPr>
          <w:rFonts w:hint="eastAsia" w:ascii="宋体" w:hAnsi="宋体"/>
          <w:color w:val="000000"/>
          <w:szCs w:val="21"/>
        </w:rPr>
        <w:t>年6月乘用车市场零售达到165.4万辆，环比5月的零售增长2.9%，批发走势平稳，实际熨平了零售的剧烈波动。</w:t>
      </w:r>
    </w:p>
    <w:p>
      <w:pPr>
        <w:ind w:firstLine="772" w:firstLineChars="368"/>
        <w:rPr>
          <w:rFonts w:ascii="宋体" w:hAnsi="宋体"/>
          <w:color w:val="000000"/>
          <w:szCs w:val="21"/>
        </w:rPr>
      </w:pPr>
      <w:r>
        <w:rPr>
          <w:rFonts w:ascii="宋体" w:hAnsi="宋体"/>
          <w:color w:val="000000"/>
          <w:szCs w:val="21"/>
        </w:rPr>
        <w:drawing>
          <wp:inline distT="0" distB="0" distL="0" distR="0">
            <wp:extent cx="6401435" cy="3322320"/>
            <wp:effectExtent l="0" t="0" r="0" b="0"/>
            <wp:docPr id="1859" name="图片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 name="图片 185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401435" cy="3322320"/>
                    </a:xfrm>
                    <a:prstGeom prst="rect">
                      <a:avLst/>
                    </a:prstGeom>
                    <a:noFill/>
                  </pic:spPr>
                </pic:pic>
              </a:graphicData>
            </a:graphic>
          </wp:inline>
        </w:drawing>
      </w:r>
    </w:p>
    <w:p>
      <w:pPr>
        <w:ind w:firstLine="357" w:firstLineChars="170"/>
        <w:rPr>
          <w:color w:val="000000"/>
          <w:szCs w:val="21"/>
        </w:rPr>
      </w:pPr>
    </w:p>
    <w:p>
      <w:pPr>
        <w:ind w:firstLine="772" w:firstLineChars="368"/>
        <w:rPr>
          <w:rFonts w:ascii="宋体" w:hAnsi="宋体"/>
          <w:color w:val="000000"/>
          <w:szCs w:val="21"/>
        </w:rPr>
      </w:pPr>
      <w:r>
        <w:rPr>
          <w:rFonts w:hint="eastAsia"/>
          <w:color w:val="000000"/>
          <w:szCs w:val="21"/>
        </w:rPr>
        <w:tab/>
      </w:r>
      <w:r>
        <w:rPr>
          <w:rFonts w:hint="eastAsia" w:ascii="宋体" w:hAnsi="宋体"/>
          <w:color w:val="000000"/>
          <w:szCs w:val="21"/>
        </w:rPr>
        <w:t>一汽大众6月领军，上海大众稳健。乘用车主力厂家成为三大阵营，正常月度前2强在月均1</w:t>
      </w:r>
      <w:r>
        <w:rPr>
          <w:rFonts w:ascii="宋体" w:hAnsi="宋体"/>
          <w:color w:val="000000"/>
          <w:szCs w:val="21"/>
        </w:rPr>
        <w:t>5</w:t>
      </w:r>
      <w:r>
        <w:rPr>
          <w:rFonts w:hint="eastAsia" w:ascii="宋体" w:hAnsi="宋体"/>
          <w:color w:val="000000"/>
          <w:szCs w:val="21"/>
        </w:rPr>
        <w:t>万左右，中间在月均1</w:t>
      </w:r>
      <w:r>
        <w:rPr>
          <w:rFonts w:ascii="宋体" w:hAnsi="宋体"/>
          <w:color w:val="000000"/>
          <w:szCs w:val="21"/>
        </w:rPr>
        <w:t>0</w:t>
      </w:r>
      <w:r>
        <w:rPr>
          <w:rFonts w:hint="eastAsia" w:ascii="宋体" w:hAnsi="宋体"/>
          <w:color w:val="000000"/>
          <w:szCs w:val="21"/>
        </w:rPr>
        <w:t>万水平，后面的在月销</w:t>
      </w:r>
      <w:r>
        <w:rPr>
          <w:rFonts w:ascii="宋体" w:hAnsi="宋体"/>
          <w:color w:val="000000"/>
          <w:szCs w:val="21"/>
        </w:rPr>
        <w:t>8</w:t>
      </w:r>
      <w:r>
        <w:rPr>
          <w:rFonts w:hint="eastAsia" w:ascii="宋体" w:hAnsi="宋体"/>
          <w:color w:val="000000"/>
          <w:szCs w:val="21"/>
        </w:rPr>
        <w:t>万台左右。6月主力车企表现分化，疫情下市场混乱。</w:t>
      </w:r>
    </w:p>
    <w:p>
      <w:pPr>
        <w:ind w:firstLine="772" w:firstLineChars="368"/>
        <w:rPr>
          <w:rFonts w:ascii="宋体" w:hAnsi="宋体"/>
          <w:color w:val="000000"/>
          <w:szCs w:val="21"/>
        </w:rPr>
      </w:pPr>
      <w:r>
        <w:rPr>
          <w:rFonts w:hint="eastAsia" w:ascii="宋体" w:hAnsi="宋体"/>
          <w:color w:val="000000"/>
          <w:szCs w:val="21"/>
        </w:rPr>
        <w:t>6月主力厂家零售表现与前期排名有波动变化，豪华车市场总体较强，同时吉利、五菱、长安等自主厂家零售较强，主要是购车需求偏刚需为主，拉动高性价比车型表现良好。原因有几方面：其一，是6月购车需求偏刚需为主，拉动高性价比车型和高端换购需求为主；其二，是各品牌区域市场有侧重，消费市场恢复与疫情下降水平相关，促成部分区域优势品牌的快速恢复；</w:t>
      </w:r>
      <w:r>
        <w:rPr>
          <w:rFonts w:ascii="宋体" w:hAnsi="宋体"/>
          <w:color w:val="000000"/>
          <w:szCs w:val="21"/>
        </w:rPr>
        <w:t xml:space="preserve"> </w:t>
      </w:r>
    </w:p>
    <w:p>
      <w:pPr>
        <w:ind w:firstLine="357" w:firstLineChars="170"/>
        <w:rPr>
          <w:rFonts w:ascii="宋体" w:hAnsi="宋体"/>
          <w:color w:val="000000"/>
          <w:szCs w:val="21"/>
        </w:rPr>
      </w:pPr>
    </w:p>
    <w:p>
      <w:pPr>
        <w:ind w:firstLine="420" w:firstLineChars="0"/>
        <w:outlineLvl w:val="1"/>
        <w:rPr>
          <w:b/>
          <w:bCs/>
          <w:color w:val="FF0000"/>
          <w:szCs w:val="21"/>
        </w:rPr>
      </w:pPr>
      <w:r>
        <w:rPr>
          <w:b/>
          <w:bCs/>
          <w:color w:val="FF0000"/>
          <w:szCs w:val="21"/>
        </w:rPr>
        <w:t>6</w:t>
      </w:r>
      <w:r>
        <w:rPr>
          <w:rFonts w:hint="eastAsia"/>
          <w:b/>
          <w:bCs/>
          <w:color w:val="FF0000"/>
          <w:szCs w:val="21"/>
        </w:rPr>
        <w:t>、商用车车企业产销分类走势</w:t>
      </w:r>
    </w:p>
    <w:p>
      <w:pPr>
        <w:ind w:firstLine="772" w:firstLineChars="368"/>
        <w:rPr>
          <w:rFonts w:ascii="宋体" w:hAnsi="宋体"/>
          <w:color w:val="000000"/>
          <w:szCs w:val="21"/>
        </w:rPr>
      </w:pPr>
      <w:r>
        <w:drawing>
          <wp:inline distT="0" distB="0" distL="0" distR="0">
            <wp:extent cx="4839335" cy="3505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40554" cy="3505988"/>
                    </a:xfrm>
                    <a:prstGeom prst="rect">
                      <a:avLst/>
                    </a:prstGeom>
                    <a:noFill/>
                    <a:ln>
                      <a:noFill/>
                    </a:ln>
                  </pic:spPr>
                </pic:pic>
              </a:graphicData>
            </a:graphic>
          </wp:inline>
        </w:drawing>
      </w:r>
    </w:p>
    <w:p>
      <w:pPr>
        <w:ind w:firstLine="772" w:firstLineChars="368"/>
        <w:rPr>
          <w:rFonts w:ascii="宋体" w:hAnsi="宋体"/>
          <w:color w:val="000000"/>
          <w:szCs w:val="21"/>
        </w:rPr>
      </w:pPr>
      <w:r>
        <w:rPr>
          <w:rFonts w:hint="eastAsia" w:ascii="宋体" w:hAnsi="宋体"/>
          <w:color w:val="000000"/>
          <w:szCs w:val="21"/>
        </w:rPr>
        <w:t>上市市场总体走走势较强，1~6月份同比增长6.5%，而且二季度同比增长在50%左右水平，呈现历年少有的二季度走平特征。</w:t>
      </w:r>
    </w:p>
    <w:p>
      <w:pPr>
        <w:ind w:firstLine="357" w:firstLineChars="170"/>
        <w:rPr>
          <w:rFonts w:ascii="宋体" w:hAnsi="宋体"/>
          <w:color w:val="000000"/>
          <w:szCs w:val="21"/>
        </w:rPr>
      </w:pPr>
    </w:p>
    <w:p>
      <w:pPr>
        <w:ind w:firstLine="772" w:firstLineChars="368"/>
        <w:rPr>
          <w:rFonts w:ascii="宋体" w:hAnsi="宋体"/>
          <w:color w:val="000000"/>
          <w:szCs w:val="21"/>
        </w:rPr>
      </w:pPr>
      <w:r>
        <w:rPr>
          <w:rFonts w:ascii="宋体" w:hAnsi="宋体"/>
          <w:color w:val="000000"/>
          <w:szCs w:val="21"/>
        </w:rPr>
        <w:drawing>
          <wp:inline distT="0" distB="0" distL="0" distR="0">
            <wp:extent cx="6139180" cy="376174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39180" cy="3761740"/>
                    </a:xfrm>
                    <a:prstGeom prst="rect">
                      <a:avLst/>
                    </a:prstGeom>
                    <a:noFill/>
                  </pic:spPr>
                </pic:pic>
              </a:graphicData>
            </a:graphic>
          </wp:inline>
        </w:drawing>
      </w:r>
    </w:p>
    <w:p>
      <w:pPr>
        <w:ind w:firstLine="772" w:firstLineChars="368"/>
        <w:rPr>
          <w:rFonts w:ascii="宋体" w:hAnsi="宋体"/>
          <w:color w:val="000000"/>
          <w:szCs w:val="21"/>
        </w:rPr>
      </w:pPr>
      <w:r>
        <w:rPr>
          <w:rFonts w:hint="eastAsia" w:ascii="宋体" w:hAnsi="宋体"/>
          <w:color w:val="000000"/>
          <w:szCs w:val="21"/>
        </w:rPr>
        <w:t>商用车市场主力的厂家是东风汽车、上汽通用五菱和北汽福田等，其中东风表现较强，福田和五菱表现相对较强。重卡中的中国一汽和中国重汽表现都很好，部分二线企业走势仍有压力，</w:t>
      </w:r>
    </w:p>
    <w:p>
      <w:pPr>
        <w:ind w:firstLine="357" w:firstLineChars="170"/>
        <w:rPr>
          <w:rFonts w:ascii="宋体" w:hAnsi="宋体"/>
          <w:color w:val="000000"/>
          <w:szCs w:val="21"/>
        </w:rPr>
      </w:pPr>
    </w:p>
    <w:p>
      <w:pPr>
        <w:ind w:firstLine="420" w:firstLineChars="0"/>
        <w:outlineLvl w:val="1"/>
        <w:rPr>
          <w:b/>
          <w:bCs/>
          <w:color w:val="FF0000"/>
          <w:szCs w:val="21"/>
        </w:rPr>
      </w:pPr>
      <w:r>
        <w:rPr>
          <w:b/>
          <w:bCs/>
          <w:color w:val="FF0000"/>
          <w:szCs w:val="21"/>
        </w:rPr>
        <w:t>6</w:t>
      </w:r>
      <w:r>
        <w:rPr>
          <w:rFonts w:hint="eastAsia"/>
          <w:b/>
          <w:bCs/>
          <w:color w:val="FF0000"/>
          <w:szCs w:val="21"/>
        </w:rPr>
        <w:t>、微车企业产销分类走势</w:t>
      </w:r>
    </w:p>
    <w:p>
      <w:pPr>
        <w:ind w:firstLine="772" w:firstLineChars="368"/>
        <w:rPr>
          <w:rFonts w:ascii="宋体" w:hAnsi="宋体"/>
          <w:color w:val="000000"/>
          <w:szCs w:val="21"/>
        </w:rPr>
      </w:pPr>
      <w:r>
        <w:drawing>
          <wp:inline distT="0" distB="0" distL="0" distR="0">
            <wp:extent cx="5337175" cy="36766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39189" cy="3677676"/>
                    </a:xfrm>
                    <a:prstGeom prst="rect">
                      <a:avLst/>
                    </a:prstGeom>
                    <a:noFill/>
                    <a:ln>
                      <a:noFill/>
                    </a:ln>
                  </pic:spPr>
                </pic:pic>
              </a:graphicData>
            </a:graphic>
          </wp:inline>
        </w:drawing>
      </w:r>
    </w:p>
    <w:p>
      <w:pPr>
        <w:ind w:firstLine="772" w:firstLineChars="368"/>
        <w:rPr>
          <w:rFonts w:ascii="宋体" w:hAnsi="宋体"/>
          <w:color w:val="000000"/>
          <w:szCs w:val="21"/>
        </w:rPr>
      </w:pPr>
      <w:r>
        <w:rPr>
          <w:rFonts w:hint="eastAsia" w:ascii="宋体" w:hAnsi="宋体"/>
          <w:color w:val="000000"/>
          <w:szCs w:val="21"/>
        </w:rPr>
        <w:t>20年累微型车销量46.6万台，累计增速-8.6%；6月微型车销量10.86万台，同比增长56.1%，环比增长-1.4%。</w:t>
      </w:r>
    </w:p>
    <w:p>
      <w:pPr>
        <w:ind w:firstLine="772" w:firstLineChars="368"/>
        <w:rPr>
          <w:rFonts w:ascii="宋体" w:hAnsi="宋体"/>
          <w:color w:val="000000"/>
          <w:szCs w:val="21"/>
        </w:rPr>
      </w:pPr>
      <w:r>
        <w:rPr>
          <w:rFonts w:hint="eastAsia" w:ascii="宋体" w:hAnsi="宋体"/>
          <w:color w:val="000000"/>
          <w:szCs w:val="21"/>
        </w:rPr>
        <w:t>20年累微客销量15.55万台，累计增速-23%；6月销量3.53万台，同比增长26.1%，环比增长-9.2%。</w:t>
      </w:r>
    </w:p>
    <w:p>
      <w:pPr>
        <w:ind w:firstLine="772" w:firstLineChars="368"/>
        <w:rPr>
          <w:rFonts w:ascii="宋体" w:hAnsi="宋体"/>
          <w:color w:val="000000"/>
          <w:szCs w:val="21"/>
        </w:rPr>
      </w:pPr>
      <w:r>
        <w:rPr>
          <w:rFonts w:hint="eastAsia" w:ascii="宋体" w:hAnsi="宋体"/>
          <w:color w:val="000000"/>
          <w:szCs w:val="21"/>
        </w:rPr>
        <w:t>20年累微卡销量31.05万台，累计增速0.7%；6月销量7.34万台，同比增长76.2%，环比增长2.9%。。</w:t>
      </w:r>
    </w:p>
    <w:p>
      <w:pPr>
        <w:ind w:firstLine="357" w:firstLineChars="170"/>
        <w:rPr>
          <w:rFonts w:ascii="宋体" w:hAnsi="宋体"/>
          <w:color w:val="000000"/>
          <w:szCs w:val="21"/>
        </w:rPr>
      </w:pPr>
    </w:p>
    <w:p>
      <w:pPr>
        <w:ind w:firstLine="772" w:firstLineChars="368"/>
        <w:rPr>
          <w:rFonts w:ascii="宋体" w:hAnsi="宋体"/>
          <w:color w:val="000000"/>
          <w:szCs w:val="21"/>
        </w:rPr>
      </w:pPr>
      <w:r>
        <w:rPr>
          <w:rFonts w:ascii="宋体" w:hAnsi="宋体"/>
          <w:color w:val="000000"/>
          <w:szCs w:val="21"/>
        </w:rPr>
        <w:drawing>
          <wp:inline distT="0" distB="0" distL="0" distR="0">
            <wp:extent cx="6919595" cy="3853180"/>
            <wp:effectExtent l="0" t="0" r="0" b="0"/>
            <wp:docPr id="1858" name="图片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 name="图片 18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919595" cy="3853180"/>
                    </a:xfrm>
                    <a:prstGeom prst="rect">
                      <a:avLst/>
                    </a:prstGeom>
                    <a:noFill/>
                  </pic:spPr>
                </pic:pic>
              </a:graphicData>
            </a:graphic>
          </wp:inline>
        </w:drawing>
      </w:r>
    </w:p>
    <w:p>
      <w:pPr>
        <w:ind w:firstLine="772" w:firstLineChars="368"/>
        <w:rPr>
          <w:rFonts w:ascii="宋体" w:hAnsi="宋体"/>
          <w:color w:val="000000"/>
          <w:szCs w:val="21"/>
        </w:rPr>
      </w:pPr>
      <w:r>
        <w:rPr>
          <w:rFonts w:ascii="宋体" w:hAnsi="宋体"/>
          <w:color w:val="000000"/>
          <w:szCs w:val="21"/>
        </w:rPr>
        <w:t>20</w:t>
      </w:r>
      <w:r>
        <w:rPr>
          <w:rFonts w:hint="eastAsia" w:ascii="宋体" w:hAnsi="宋体"/>
          <w:color w:val="000000"/>
          <w:szCs w:val="21"/>
        </w:rPr>
        <w:t>年的6月的五菱走势相对很强，东风恢复，而6月其他厂家分化。金杯、长安走势改善，微车其他企业走势压力仍较大。</w:t>
      </w:r>
    </w:p>
    <w:p>
      <w:pPr>
        <w:ind w:firstLine="357" w:firstLineChars="170"/>
        <w:rPr>
          <w:rFonts w:ascii="宋体" w:hAnsi="宋体"/>
          <w:color w:val="000000"/>
          <w:szCs w:val="21"/>
        </w:rPr>
      </w:pPr>
    </w:p>
    <w:p>
      <w:pPr>
        <w:ind w:firstLine="357" w:firstLineChars="170"/>
        <w:rPr>
          <w:rFonts w:ascii="宋体" w:hAnsi="宋体"/>
          <w:color w:val="000000"/>
          <w:szCs w:val="21"/>
        </w:rPr>
      </w:pPr>
    </w:p>
    <w:p>
      <w:pPr>
        <w:ind w:firstLine="420" w:firstLineChars="0"/>
        <w:outlineLvl w:val="1"/>
        <w:rPr>
          <w:b/>
          <w:bCs/>
          <w:color w:val="FF0000"/>
          <w:szCs w:val="21"/>
        </w:rPr>
      </w:pPr>
      <w:bookmarkStart w:id="34" w:name="_Toc285960427"/>
      <w:bookmarkStart w:id="35" w:name="_Toc285960742"/>
      <w:bookmarkStart w:id="36" w:name="_Toc285961917"/>
      <w:bookmarkStart w:id="37" w:name="_Toc285960532"/>
      <w:bookmarkStart w:id="38" w:name="_Toc261214597"/>
      <w:r>
        <w:rPr>
          <w:b/>
          <w:bCs/>
          <w:color w:val="FF0000"/>
          <w:szCs w:val="21"/>
        </w:rPr>
        <w:t>7</w:t>
      </w:r>
      <w:r>
        <w:rPr>
          <w:rFonts w:hint="eastAsia"/>
          <w:b/>
          <w:bCs/>
          <w:color w:val="FF0000"/>
          <w:szCs w:val="21"/>
        </w:rPr>
        <w:t>、轻型卡车企业产销分类走势</w:t>
      </w:r>
      <w:bookmarkEnd w:id="34"/>
      <w:bookmarkEnd w:id="35"/>
      <w:bookmarkEnd w:id="36"/>
      <w:bookmarkEnd w:id="37"/>
      <w:bookmarkEnd w:id="38"/>
    </w:p>
    <w:p>
      <w:pPr>
        <w:pStyle w:val="7"/>
        <w:keepNext/>
        <w:ind w:firstLine="420" w:firstLineChars="0"/>
        <w:jc w:val="left"/>
        <w:rPr>
          <w:color w:val="000000"/>
          <w:sz w:val="21"/>
          <w:szCs w:val="21"/>
        </w:rPr>
      </w:pPr>
      <w:r>
        <w:drawing>
          <wp:inline distT="0" distB="0" distL="0" distR="0">
            <wp:extent cx="5353050" cy="3686810"/>
            <wp:effectExtent l="0" t="0" r="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354714" cy="3688370"/>
                    </a:xfrm>
                    <a:prstGeom prst="rect">
                      <a:avLst/>
                    </a:prstGeom>
                    <a:noFill/>
                    <a:ln>
                      <a:noFill/>
                    </a:ln>
                  </pic:spPr>
                </pic:pic>
              </a:graphicData>
            </a:graphic>
          </wp:inline>
        </w:drawing>
      </w:r>
    </w:p>
    <w:p>
      <w:pPr>
        <w:ind w:left="420" w:leftChars="0" w:firstLine="424" w:firstLineChars="202"/>
        <w:rPr>
          <w:color w:val="000000"/>
          <w:szCs w:val="21"/>
        </w:rPr>
      </w:pPr>
      <w:r>
        <w:rPr>
          <w:rFonts w:hint="eastAsia"/>
          <w:color w:val="000000"/>
          <w:szCs w:val="21"/>
        </w:rPr>
        <w:t>20年累卡车销量188.86万台，累计增速11%；6月卡车销量42.02万台，同比增长71.9%，环比增长2.2%。</w:t>
      </w:r>
    </w:p>
    <w:p>
      <w:pPr>
        <w:ind w:left="420" w:leftChars="0" w:firstLine="424" w:firstLineChars="202"/>
        <w:rPr>
          <w:color w:val="000000"/>
          <w:szCs w:val="21"/>
        </w:rPr>
      </w:pPr>
      <w:r>
        <w:rPr>
          <w:rFonts w:hint="eastAsia"/>
          <w:color w:val="000000"/>
          <w:szCs w:val="21"/>
        </w:rPr>
        <w:t>20年累轻卡销量100.06万台，累计增速3.9%；6月销量23.74万台，同比增长81.5%，环比增长10.4%。。</w:t>
      </w:r>
    </w:p>
    <w:p>
      <w:pPr>
        <w:ind w:left="420" w:leftChars="0" w:firstLine="424" w:firstLineChars="202"/>
        <w:rPr>
          <w:rFonts w:ascii="宋体" w:hAnsi="宋体"/>
        </w:rPr>
      </w:pPr>
      <w:r>
        <w:rPr>
          <w:rFonts w:hint="eastAsia" w:ascii="宋体" w:hAnsi="宋体"/>
        </w:rPr>
        <w:t>卡车高增长主要是国三柴油车淘汰的影响。近期各地采取强力措施打击假国三，带来巨大换购增量。</w:t>
      </w:r>
      <w:r>
        <w:rPr>
          <w:rFonts w:ascii="宋体" w:hAnsi="宋体"/>
        </w:rPr>
        <w:t xml:space="preserve"> 2018年，国务院发布了《打赢蓝天保卫战三年行动计划》，其中提及2020年底前，京津冀及周边地区、汾渭平原淘汰国三及以下排放标准营运中型和重型柴油货车100万辆以上。</w:t>
      </w:r>
      <w:r>
        <w:rPr>
          <w:rFonts w:hint="eastAsia" w:ascii="宋体" w:hAnsi="宋体"/>
        </w:rPr>
        <w:t>北方重点区域</w:t>
      </w:r>
      <w:r>
        <w:rPr>
          <w:rFonts w:ascii="宋体" w:hAnsi="宋体"/>
        </w:rPr>
        <w:t>市场上的国三车可能要远远超过100万。</w:t>
      </w:r>
      <w:r>
        <w:rPr>
          <w:rFonts w:hint="eastAsia" w:ascii="宋体" w:hAnsi="宋体"/>
        </w:rPr>
        <w:t>由于柴油假国三问题严重，因此很多地方采取多管齐下的政策，让国三老旧货车举步维艰，不得不换车。这也导致换车刚性需求的增加，一季度</w:t>
      </w:r>
      <w:r>
        <w:rPr>
          <w:rFonts w:ascii="宋体" w:hAnsi="宋体"/>
        </w:rPr>
        <w:t>没换车，</w:t>
      </w:r>
      <w:r>
        <w:rPr>
          <w:rFonts w:hint="eastAsia" w:ascii="宋体" w:hAnsi="宋体"/>
        </w:rPr>
        <w:t>之</w:t>
      </w:r>
      <w:r>
        <w:rPr>
          <w:rFonts w:ascii="宋体" w:hAnsi="宋体"/>
        </w:rPr>
        <w:t>后必须加速更新</w:t>
      </w:r>
      <w:r>
        <w:rPr>
          <w:rFonts w:hint="eastAsia" w:ascii="宋体" w:hAnsi="宋体"/>
        </w:rPr>
        <w:t>，否则无法上路正常经营，预计该利好因素或将持续到年底</w:t>
      </w:r>
      <w:r>
        <w:rPr>
          <w:rFonts w:ascii="宋体" w:hAnsi="宋体"/>
        </w:rPr>
        <w:t>。</w:t>
      </w:r>
    </w:p>
    <w:p>
      <w:pPr>
        <w:ind w:firstLine="424" w:firstLineChars="202"/>
        <w:rPr>
          <w:color w:val="000000"/>
          <w:szCs w:val="21"/>
        </w:rPr>
      </w:pPr>
    </w:p>
    <w:p>
      <w:pPr>
        <w:ind w:firstLine="424" w:firstLineChars="202"/>
        <w:rPr>
          <w:color w:val="000000"/>
          <w:szCs w:val="21"/>
        </w:rPr>
      </w:pPr>
    </w:p>
    <w:p>
      <w:pPr>
        <w:ind w:left="420" w:leftChars="0" w:firstLine="424" w:firstLineChars="202"/>
        <w:rPr>
          <w:color w:val="000000"/>
          <w:szCs w:val="21"/>
        </w:rPr>
      </w:pPr>
      <w:r>
        <w:rPr>
          <w:color w:val="000000"/>
          <w:szCs w:val="21"/>
        </w:rPr>
        <w:drawing>
          <wp:inline distT="0" distB="0" distL="0" distR="0">
            <wp:extent cx="6535420" cy="3499485"/>
            <wp:effectExtent l="0" t="0" r="0"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535420" cy="3499485"/>
                    </a:xfrm>
                    <a:prstGeom prst="rect">
                      <a:avLst/>
                    </a:prstGeom>
                    <a:noFill/>
                  </pic:spPr>
                </pic:pic>
              </a:graphicData>
            </a:graphic>
          </wp:inline>
        </w:drawing>
      </w:r>
    </w:p>
    <w:p>
      <w:pPr>
        <w:ind w:firstLine="424" w:firstLineChars="202"/>
        <w:rPr>
          <w:color w:val="000000"/>
          <w:szCs w:val="21"/>
        </w:rPr>
      </w:pPr>
    </w:p>
    <w:p>
      <w:pPr>
        <w:ind w:left="420" w:leftChars="0" w:firstLine="424" w:firstLineChars="202"/>
        <w:rPr>
          <w:color w:val="000000"/>
          <w:szCs w:val="21"/>
        </w:rPr>
      </w:pPr>
      <w:r>
        <w:rPr>
          <w:color w:val="000000"/>
          <w:szCs w:val="21"/>
        </w:rPr>
        <w:t>20年1-6月</w:t>
      </w:r>
      <w:r>
        <w:rPr>
          <w:rFonts w:hint="eastAsia"/>
          <w:color w:val="000000"/>
          <w:szCs w:val="21"/>
        </w:rPr>
        <w:t>的轻卡主力厂家分化较明显，福田和东风走势超强，江铃、江淮的轻卡表现平稳。</w:t>
      </w:r>
    </w:p>
    <w:p>
      <w:pPr>
        <w:ind w:left="420" w:leftChars="0" w:firstLine="424" w:firstLineChars="202"/>
        <w:rPr>
          <w:color w:val="000000"/>
          <w:szCs w:val="21"/>
        </w:rPr>
      </w:pPr>
      <w:r>
        <w:rPr>
          <w:rFonts w:hint="eastAsia"/>
          <w:color w:val="000000"/>
          <w:szCs w:val="21"/>
        </w:rPr>
        <w:t>主力车企的福田保持超强的龙头地位。长城皮卡走势很好。</w:t>
      </w:r>
    </w:p>
    <w:p>
      <w:pPr>
        <w:ind w:left="420" w:leftChars="0" w:firstLine="424" w:firstLineChars="202"/>
        <w:rPr>
          <w:color w:val="000000"/>
          <w:szCs w:val="21"/>
        </w:rPr>
      </w:pPr>
      <w:r>
        <w:rPr>
          <w:rFonts w:hint="eastAsia"/>
          <w:color w:val="000000"/>
          <w:szCs w:val="21"/>
        </w:rPr>
        <w:t>长安的轻卡走势很强，从微卡强势企业升级成为轻卡第二强势企业。</w:t>
      </w:r>
    </w:p>
    <w:p>
      <w:pPr>
        <w:ind w:firstLine="424" w:firstLineChars="202"/>
        <w:rPr>
          <w:color w:val="000000"/>
          <w:szCs w:val="21"/>
        </w:rPr>
      </w:pPr>
    </w:p>
    <w:p>
      <w:pPr>
        <w:ind w:firstLine="420" w:firstLineChars="0"/>
        <w:outlineLvl w:val="1"/>
        <w:rPr>
          <w:b/>
          <w:bCs/>
          <w:color w:val="FF0000"/>
          <w:szCs w:val="21"/>
        </w:rPr>
      </w:pPr>
      <w:r>
        <w:rPr>
          <w:b/>
          <w:bCs/>
          <w:color w:val="FF0000"/>
          <w:szCs w:val="21"/>
        </w:rPr>
        <w:t>8</w:t>
      </w:r>
      <w:r>
        <w:rPr>
          <w:rFonts w:hint="eastAsia"/>
          <w:b/>
          <w:bCs/>
          <w:color w:val="FF0000"/>
          <w:szCs w:val="21"/>
        </w:rPr>
        <w:t>、中重型卡车企业产销分类走势</w:t>
      </w:r>
    </w:p>
    <w:p>
      <w:pPr>
        <w:ind w:left="420" w:leftChars="0" w:firstLine="424" w:firstLineChars="202"/>
        <w:rPr>
          <w:color w:val="000000"/>
          <w:szCs w:val="21"/>
        </w:rPr>
      </w:pPr>
      <w:r>
        <w:drawing>
          <wp:inline distT="0" distB="0" distL="0" distR="0">
            <wp:extent cx="4575810" cy="31813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77429" cy="3182125"/>
                    </a:xfrm>
                    <a:prstGeom prst="rect">
                      <a:avLst/>
                    </a:prstGeom>
                    <a:noFill/>
                    <a:ln>
                      <a:noFill/>
                    </a:ln>
                  </pic:spPr>
                </pic:pic>
              </a:graphicData>
            </a:graphic>
          </wp:inline>
        </w:drawing>
      </w:r>
    </w:p>
    <w:p>
      <w:pPr>
        <w:ind w:left="420" w:leftChars="0" w:firstLine="424" w:firstLineChars="202"/>
        <w:rPr>
          <w:color w:val="000000"/>
          <w:szCs w:val="21"/>
        </w:rPr>
      </w:pPr>
      <w:r>
        <w:rPr>
          <w:rFonts w:hint="eastAsia"/>
          <w:color w:val="000000"/>
          <w:szCs w:val="21"/>
        </w:rPr>
        <w:t>19年全年累计中重卡销量131.36万台，累计增速-0.9%；12月销量10.47万台，同比增长8.2%，环比增长-7.5%。。</w:t>
      </w:r>
    </w:p>
    <w:p>
      <w:pPr>
        <w:ind w:left="420" w:leftChars="0" w:firstLine="424" w:firstLineChars="202"/>
        <w:rPr>
          <w:color w:val="000000"/>
          <w:szCs w:val="21"/>
        </w:rPr>
      </w:pPr>
      <w:r>
        <w:rPr>
          <w:rFonts w:hint="eastAsia"/>
          <w:color w:val="000000"/>
          <w:szCs w:val="21"/>
        </w:rPr>
        <w:t>20年累中重卡销量88.8万台，累计增速20.3%；6月销量18.27万台，同比增长61%，环比增长-6.7%。</w:t>
      </w:r>
    </w:p>
    <w:p>
      <w:pPr>
        <w:ind w:left="420" w:leftChars="0" w:firstLine="424" w:firstLineChars="202"/>
        <w:rPr>
          <w:rFonts w:ascii="宋体" w:hAnsi="宋体"/>
        </w:rPr>
      </w:pPr>
      <w:r>
        <w:rPr>
          <w:rFonts w:hint="eastAsia" w:ascii="宋体" w:hAnsi="宋体"/>
        </w:rPr>
        <w:t>重卡高增长主要是电商物流拉动公路运输的需求增长。疫情影响下的居民消费电商化趋势进一步强化拉动物流运输。1-</w:t>
      </w:r>
      <w:r>
        <w:rPr>
          <w:rFonts w:ascii="宋体" w:hAnsi="宋体"/>
        </w:rPr>
        <w:t>5</w:t>
      </w:r>
      <w:r>
        <w:rPr>
          <w:rFonts w:hint="eastAsia" w:ascii="宋体" w:hAnsi="宋体"/>
        </w:rPr>
        <w:t>月</w:t>
      </w:r>
      <w:r>
        <w:rPr>
          <w:rFonts w:ascii="宋体" w:hAnsi="宋体"/>
        </w:rPr>
        <w:t>，社会消费品零售总额下降13.5%</w:t>
      </w:r>
      <w:r>
        <w:rPr>
          <w:rFonts w:hint="eastAsia" w:ascii="宋体" w:hAnsi="宋体"/>
        </w:rPr>
        <w:t>；但实物商品网上零售额</w:t>
      </w:r>
      <w:r>
        <w:rPr>
          <w:rFonts w:ascii="宋体" w:hAnsi="宋体"/>
        </w:rPr>
        <w:t>增长11.5%，占社会消费品零售总额的比重为24.3%；在实物商品网上零售额中，</w:t>
      </w:r>
      <w:r>
        <w:rPr>
          <w:rFonts w:hint="eastAsia" w:ascii="宋体" w:hAnsi="宋体"/>
        </w:rPr>
        <w:t>食品</w:t>
      </w:r>
      <w:r>
        <w:rPr>
          <w:rFonts w:ascii="宋体" w:hAnsi="宋体"/>
        </w:rPr>
        <w:t>类和</w:t>
      </w:r>
      <w:r>
        <w:rPr>
          <w:rFonts w:hint="eastAsia" w:ascii="宋体" w:hAnsi="宋体"/>
        </w:rPr>
        <w:t>使</w:t>
      </w:r>
      <w:r>
        <w:rPr>
          <w:rFonts w:ascii="宋体" w:hAnsi="宋体"/>
        </w:rPr>
        <w:t>用类商品分别增长37.0%和14.9%，</w:t>
      </w:r>
      <w:r>
        <w:rPr>
          <w:rFonts w:hint="eastAsia" w:ascii="宋体" w:hAnsi="宋体"/>
        </w:rPr>
        <w:t>服装</w:t>
      </w:r>
      <w:r>
        <w:rPr>
          <w:rFonts w:ascii="宋体" w:hAnsi="宋体"/>
        </w:rPr>
        <w:t>类商品下降6.8%</w:t>
      </w:r>
      <w:r>
        <w:rPr>
          <w:rFonts w:hint="eastAsia" w:ascii="宋体" w:hAnsi="宋体"/>
        </w:rPr>
        <w:t>，各地消费券对社零消费刺激得到多机构的测算验证</w:t>
      </w:r>
      <w:r>
        <w:rPr>
          <w:rFonts w:ascii="宋体" w:hAnsi="宋体"/>
        </w:rPr>
        <w:t>。</w:t>
      </w:r>
      <w:r>
        <w:rPr>
          <w:rFonts w:hint="eastAsia" w:ascii="宋体" w:hAnsi="宋体"/>
        </w:rPr>
        <w:t>食品类的高增长对物流体系的要求很高，生鲜冷链等运输也是体系化的仓对仓、仓到站、店到家的卡车组合配送体系。物流的仓对仓运输，重卡优势更明显。重卡市场超火爆景象已经延伸到进口车，今年5月虽然乘用车进口下滑5</w:t>
      </w:r>
      <w:r>
        <w:rPr>
          <w:rFonts w:ascii="宋体" w:hAnsi="宋体"/>
        </w:rPr>
        <w:t>0</w:t>
      </w:r>
      <w:r>
        <w:rPr>
          <w:rFonts w:hint="eastAsia" w:ascii="宋体" w:hAnsi="宋体"/>
        </w:rPr>
        <w:t>%，但进口重卡同比增长6</w:t>
      </w:r>
      <w:r>
        <w:rPr>
          <w:rFonts w:ascii="宋体" w:hAnsi="宋体"/>
        </w:rPr>
        <w:t>1</w:t>
      </w:r>
      <w:r>
        <w:rPr>
          <w:rFonts w:hint="eastAsia" w:ascii="宋体" w:hAnsi="宋体"/>
        </w:rPr>
        <w:t>%，体现物流的高端重卡需求高涨。</w:t>
      </w:r>
    </w:p>
    <w:p>
      <w:pPr>
        <w:ind w:left="420" w:leftChars="0" w:firstLine="424" w:firstLineChars="202"/>
        <w:rPr>
          <w:rFonts w:ascii="宋体" w:hAnsi="宋体"/>
        </w:rPr>
      </w:pPr>
      <w:r>
        <w:rPr>
          <w:rFonts w:hint="eastAsia" w:ascii="宋体" w:hAnsi="宋体"/>
        </w:rPr>
        <w:t>同时也有国三淘汰和投资拉动等综合因素。</w:t>
      </w:r>
    </w:p>
    <w:p>
      <w:pPr>
        <w:ind w:left="420" w:leftChars="0" w:firstLine="424" w:firstLineChars="202"/>
        <w:rPr>
          <w:rFonts w:ascii="宋体" w:hAnsi="宋体"/>
          <w:color w:val="000000"/>
          <w:szCs w:val="21"/>
        </w:rPr>
      </w:pPr>
      <w:r>
        <w:rPr>
          <w:rFonts w:ascii="宋体" w:hAnsi="宋体"/>
          <w:color w:val="000000"/>
          <w:szCs w:val="21"/>
        </w:rPr>
        <w:drawing>
          <wp:inline distT="0" distB="0" distL="0" distR="0">
            <wp:extent cx="6608445" cy="3456940"/>
            <wp:effectExtent l="0" t="0" r="190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608445" cy="3456940"/>
                    </a:xfrm>
                    <a:prstGeom prst="rect">
                      <a:avLst/>
                    </a:prstGeom>
                    <a:noFill/>
                  </pic:spPr>
                </pic:pic>
              </a:graphicData>
            </a:graphic>
          </wp:inline>
        </w:drawing>
      </w:r>
    </w:p>
    <w:p>
      <w:pPr>
        <w:ind w:left="420" w:leftChars="0" w:firstLine="424" w:firstLineChars="202"/>
        <w:rPr>
          <w:rFonts w:ascii="宋体" w:hAnsi="宋体"/>
          <w:color w:val="000000"/>
          <w:szCs w:val="21"/>
        </w:rPr>
      </w:pPr>
      <w:r>
        <w:rPr>
          <w:rFonts w:ascii="宋体" w:hAnsi="宋体"/>
          <w:color w:val="000000"/>
          <w:szCs w:val="21"/>
        </w:rPr>
        <w:t>20</w:t>
      </w:r>
      <w:r>
        <w:rPr>
          <w:rFonts w:hint="eastAsia" w:ascii="宋体" w:hAnsi="宋体"/>
          <w:color w:val="000000"/>
          <w:szCs w:val="21"/>
        </w:rPr>
        <w:t>年</w:t>
      </w:r>
      <w:r>
        <w:rPr>
          <w:rFonts w:ascii="宋体" w:hAnsi="宋体"/>
          <w:color w:val="000000"/>
          <w:szCs w:val="21"/>
        </w:rPr>
        <w:t>6月</w:t>
      </w:r>
      <w:r>
        <w:rPr>
          <w:rFonts w:hint="eastAsia" w:ascii="宋体" w:hAnsi="宋体"/>
          <w:color w:val="000000"/>
          <w:szCs w:val="21"/>
        </w:rPr>
        <w:t>的主力走势分化，一汽</w:t>
      </w:r>
      <w:r>
        <w:rPr>
          <w:rFonts w:ascii="宋体" w:hAnsi="宋体"/>
          <w:color w:val="000000"/>
          <w:szCs w:val="21"/>
        </w:rPr>
        <w:t>6月</w:t>
      </w:r>
      <w:r>
        <w:rPr>
          <w:rFonts w:hint="eastAsia" w:ascii="宋体" w:hAnsi="宋体"/>
          <w:color w:val="000000"/>
          <w:szCs w:val="21"/>
        </w:rPr>
        <w:t>走势仍是领军，东风的走势强势回升，重汽和陕汽平稳回升，依维柯走强。</w:t>
      </w:r>
    </w:p>
    <w:p>
      <w:pPr>
        <w:ind w:firstLine="422" w:firstLineChars="201"/>
        <w:rPr>
          <w:szCs w:val="21"/>
        </w:rPr>
      </w:pPr>
    </w:p>
    <w:p>
      <w:pPr>
        <w:ind w:firstLine="420" w:firstLineChars="0"/>
        <w:outlineLvl w:val="1"/>
        <w:rPr>
          <w:b/>
          <w:bCs/>
          <w:color w:val="FF0000"/>
          <w:szCs w:val="21"/>
        </w:rPr>
      </w:pPr>
      <w:bookmarkStart w:id="39" w:name="_Toc285960428"/>
      <w:bookmarkStart w:id="40" w:name="_Toc261214598"/>
      <w:bookmarkStart w:id="41" w:name="_Toc285960743"/>
      <w:bookmarkStart w:id="42" w:name="_Toc285960533"/>
      <w:bookmarkStart w:id="43" w:name="_Toc285961918"/>
      <w:r>
        <w:rPr>
          <w:b/>
          <w:bCs/>
          <w:color w:val="FF0000"/>
          <w:szCs w:val="21"/>
        </w:rPr>
        <w:t>9</w:t>
      </w:r>
      <w:r>
        <w:rPr>
          <w:rFonts w:hint="eastAsia"/>
          <w:b/>
          <w:bCs/>
          <w:color w:val="FF0000"/>
          <w:szCs w:val="21"/>
        </w:rPr>
        <w:t>、轻型客车企业销售走势</w:t>
      </w:r>
      <w:bookmarkEnd w:id="39"/>
      <w:bookmarkEnd w:id="40"/>
      <w:bookmarkEnd w:id="41"/>
      <w:bookmarkEnd w:id="42"/>
      <w:bookmarkEnd w:id="43"/>
    </w:p>
    <w:p>
      <w:pPr>
        <w:ind w:firstLine="420" w:firstLineChars="0"/>
        <w:rPr>
          <w:b/>
          <w:bCs/>
          <w:color w:val="000000"/>
          <w:szCs w:val="21"/>
        </w:rPr>
      </w:pPr>
      <w:r>
        <w:drawing>
          <wp:inline distT="0" distB="0" distL="0" distR="0">
            <wp:extent cx="5308600" cy="3620135"/>
            <wp:effectExtent l="0" t="0" r="635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309556" cy="3621022"/>
                    </a:xfrm>
                    <a:prstGeom prst="rect">
                      <a:avLst/>
                    </a:prstGeom>
                    <a:noFill/>
                    <a:ln>
                      <a:noFill/>
                    </a:ln>
                  </pic:spPr>
                </pic:pic>
              </a:graphicData>
            </a:graphic>
          </wp:inline>
        </w:drawing>
      </w:r>
    </w:p>
    <w:p>
      <w:pPr>
        <w:ind w:left="420" w:leftChars="0" w:firstLine="422" w:firstLineChars="201"/>
        <w:rPr>
          <w:rFonts w:asciiTheme="majorEastAsia" w:hAnsiTheme="majorEastAsia" w:eastAsiaTheme="majorEastAsia"/>
          <w:bCs/>
          <w:color w:val="000000"/>
          <w:szCs w:val="21"/>
        </w:rPr>
      </w:pPr>
      <w:r>
        <w:rPr>
          <w:rFonts w:hint="eastAsia" w:asciiTheme="majorEastAsia" w:hAnsiTheme="majorEastAsia" w:eastAsiaTheme="majorEastAsia"/>
          <w:bCs/>
          <w:color w:val="000000"/>
          <w:szCs w:val="21"/>
        </w:rPr>
        <w:t>19年全年累计客车销量47.43万台，累计增速-3.4%；12月客车销量6.32万台，同比增长-2.5%，环比增长29.8%。</w:t>
      </w:r>
    </w:p>
    <w:p>
      <w:pPr>
        <w:ind w:left="420" w:leftChars="0" w:firstLine="422" w:firstLineChars="201"/>
        <w:rPr>
          <w:rFonts w:asciiTheme="majorEastAsia" w:hAnsiTheme="majorEastAsia" w:eastAsiaTheme="majorEastAsia"/>
          <w:bCs/>
          <w:color w:val="000000"/>
          <w:szCs w:val="21"/>
        </w:rPr>
      </w:pPr>
      <w:r>
        <w:rPr>
          <w:rFonts w:hint="eastAsia" w:asciiTheme="majorEastAsia" w:hAnsiTheme="majorEastAsia" w:eastAsiaTheme="majorEastAsia"/>
          <w:bCs/>
          <w:color w:val="000000"/>
          <w:szCs w:val="21"/>
        </w:rPr>
        <w:t>19年全年累计轻客销量33.26万台，累计增速-2.2%；12月销量3.83万台，同比增长-3.7%，环比增长8.1%。。</w:t>
      </w:r>
    </w:p>
    <w:p>
      <w:pPr>
        <w:ind w:left="420" w:leftChars="0" w:firstLine="424" w:firstLineChars="202"/>
        <w:rPr>
          <w:color w:val="000000"/>
          <w:szCs w:val="21"/>
        </w:rPr>
      </w:pPr>
      <w:r>
        <w:rPr>
          <w:rFonts w:hint="eastAsia"/>
          <w:color w:val="000000"/>
          <w:szCs w:val="21"/>
        </w:rPr>
        <w:t>20年累客车销量18.49万台，累计增速-11.7%；6月客车销量4.25万台，同比增长0%，环比增长13.1%。</w:t>
      </w:r>
    </w:p>
    <w:p>
      <w:pPr>
        <w:ind w:left="420" w:leftChars="0" w:firstLine="424" w:firstLineChars="202"/>
        <w:rPr>
          <w:color w:val="000000"/>
          <w:szCs w:val="21"/>
        </w:rPr>
      </w:pPr>
      <w:r>
        <w:rPr>
          <w:rFonts w:hint="eastAsia"/>
          <w:color w:val="000000"/>
          <w:szCs w:val="21"/>
        </w:rPr>
        <w:t>20年累轻客销量14.49万台，累计增速-3.5%；6月销量3.2万台，同比增长8.1%，环比增长11.4%。。</w:t>
      </w:r>
    </w:p>
    <w:p>
      <w:pPr>
        <w:ind w:left="420" w:leftChars="0" w:firstLine="424" w:firstLineChars="202"/>
        <w:rPr>
          <w:rFonts w:asciiTheme="majorEastAsia" w:hAnsiTheme="majorEastAsia" w:eastAsiaTheme="majorEastAsia"/>
          <w:color w:val="000000"/>
          <w:szCs w:val="21"/>
        </w:rPr>
      </w:pPr>
      <w:r>
        <w:rPr>
          <w:rFonts w:hint="eastAsia" w:asciiTheme="majorEastAsia" w:hAnsiTheme="majorEastAsia" w:eastAsiaTheme="majorEastAsia"/>
          <w:color w:val="000000"/>
          <w:szCs w:val="21"/>
        </w:rPr>
        <w:t>轻客企业的走势相对平稳，近期波动不大。由于轻客新能源的突破速度较慢，专用车的走势也不是很强，因此轻客的市场压力仍大。</w:t>
      </w:r>
    </w:p>
    <w:p>
      <w:pPr>
        <w:ind w:firstLine="420" w:firstLineChars="0"/>
        <w:rPr>
          <w:color w:val="000000"/>
          <w:szCs w:val="21"/>
        </w:rPr>
      </w:pPr>
      <w:r>
        <w:rPr>
          <w:color w:val="000000"/>
          <w:szCs w:val="21"/>
        </w:rPr>
        <w:drawing>
          <wp:inline distT="0" distB="0" distL="0" distR="0">
            <wp:extent cx="5651500" cy="3352800"/>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651500" cy="3352800"/>
                    </a:xfrm>
                    <a:prstGeom prst="rect">
                      <a:avLst/>
                    </a:prstGeom>
                    <a:noFill/>
                  </pic:spPr>
                </pic:pic>
              </a:graphicData>
            </a:graphic>
          </wp:inline>
        </w:drawing>
      </w:r>
    </w:p>
    <w:p>
      <w:pPr>
        <w:rPr>
          <w:color w:val="000000"/>
          <w:szCs w:val="21"/>
        </w:rPr>
      </w:pPr>
    </w:p>
    <w:p>
      <w:pPr>
        <w:ind w:firstLine="420" w:firstLineChars="0"/>
        <w:rPr>
          <w:color w:val="000000"/>
          <w:szCs w:val="21"/>
        </w:rPr>
      </w:pPr>
      <w:r>
        <w:rPr>
          <w:rFonts w:hint="eastAsia"/>
          <w:color w:val="000000"/>
          <w:szCs w:val="21"/>
        </w:rPr>
        <w:t>近期的轻客市场持续平稳走弱。近两年江铃走势超强。其次是上汽大通和长安的走势较强。。金杯走势逐步平稳。</w:t>
      </w:r>
    </w:p>
    <w:p>
      <w:pPr>
        <w:ind w:firstLine="539" w:firstLineChars="257"/>
        <w:rPr>
          <w:color w:val="000000"/>
          <w:szCs w:val="21"/>
        </w:rPr>
      </w:pPr>
    </w:p>
    <w:p>
      <w:pPr>
        <w:ind w:firstLine="420" w:firstLineChars="0"/>
        <w:outlineLvl w:val="1"/>
        <w:rPr>
          <w:b/>
          <w:bCs/>
          <w:color w:val="FF0000"/>
          <w:szCs w:val="21"/>
        </w:rPr>
      </w:pPr>
      <w:r>
        <w:rPr>
          <w:b/>
          <w:bCs/>
          <w:color w:val="FF0000"/>
          <w:szCs w:val="21"/>
        </w:rPr>
        <w:t>10</w:t>
      </w:r>
      <w:r>
        <w:rPr>
          <w:rFonts w:hint="eastAsia"/>
          <w:b/>
          <w:bCs/>
          <w:color w:val="FF0000"/>
          <w:szCs w:val="21"/>
        </w:rPr>
        <w:t>、大中型客车企业销售走势</w:t>
      </w:r>
    </w:p>
    <w:p>
      <w:pPr>
        <w:ind w:firstLine="558" w:firstLineChars="266"/>
        <w:jc w:val="left"/>
        <w:rPr>
          <w:color w:val="000000"/>
          <w:szCs w:val="21"/>
        </w:rPr>
      </w:pPr>
      <w:r>
        <w:drawing>
          <wp:inline distT="0" distB="0" distL="0" distR="0">
            <wp:extent cx="5632450" cy="3879850"/>
            <wp:effectExtent l="0" t="0" r="635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634017" cy="3880756"/>
                    </a:xfrm>
                    <a:prstGeom prst="rect">
                      <a:avLst/>
                    </a:prstGeom>
                    <a:noFill/>
                    <a:ln>
                      <a:noFill/>
                    </a:ln>
                  </pic:spPr>
                </pic:pic>
              </a:graphicData>
            </a:graphic>
          </wp:inline>
        </w:drawing>
      </w:r>
    </w:p>
    <w:p>
      <w:pPr>
        <w:ind w:left="420" w:leftChars="0" w:firstLine="422" w:firstLineChars="201"/>
        <w:rPr>
          <w:rFonts w:asciiTheme="majorEastAsia" w:hAnsiTheme="majorEastAsia" w:eastAsiaTheme="majorEastAsia"/>
          <w:bCs/>
          <w:color w:val="000000"/>
          <w:szCs w:val="21"/>
        </w:rPr>
      </w:pPr>
      <w:r>
        <w:rPr>
          <w:rFonts w:hint="eastAsia" w:asciiTheme="majorEastAsia" w:hAnsiTheme="majorEastAsia" w:eastAsiaTheme="majorEastAsia"/>
          <w:bCs/>
          <w:color w:val="000000"/>
          <w:szCs w:val="21"/>
        </w:rPr>
        <w:t>19年全年累计大中客销量14.17万台，累计增速-6.1%；12月销量2.49万台，同比增长-0.7%，环比增长88.1%。</w:t>
      </w:r>
    </w:p>
    <w:p>
      <w:pPr>
        <w:ind w:left="420" w:leftChars="0" w:firstLine="424" w:firstLineChars="202"/>
        <w:rPr>
          <w:color w:val="000000"/>
          <w:szCs w:val="21"/>
        </w:rPr>
      </w:pPr>
      <w:r>
        <w:rPr>
          <w:rFonts w:hint="eastAsia"/>
          <w:color w:val="000000"/>
          <w:szCs w:val="21"/>
        </w:rPr>
        <w:t>20年累大中客销量4万台，累计增速-32.4%；6月销量1.05万台，同比增长-18.5%，环比增长18.7%。</w:t>
      </w:r>
    </w:p>
    <w:p>
      <w:pPr>
        <w:ind w:left="420" w:leftChars="0" w:firstLine="422" w:firstLineChars="201"/>
        <w:rPr>
          <w:color w:val="000000"/>
          <w:szCs w:val="21"/>
        </w:rPr>
      </w:pPr>
      <w:r>
        <w:rPr>
          <w:rFonts w:hint="eastAsia"/>
          <w:color w:val="000000"/>
          <w:szCs w:val="21"/>
        </w:rPr>
        <w:t>前两年年大中客表现较强，同比增长出现高增长，增长主要是因为新能源车的抢补贴行情，同时也是地方政府推动的结果。</w:t>
      </w:r>
    </w:p>
    <w:p>
      <w:pPr>
        <w:ind w:firstLine="422" w:firstLineChars="201"/>
        <w:rPr>
          <w:color w:val="000000"/>
          <w:szCs w:val="21"/>
        </w:rPr>
      </w:pPr>
    </w:p>
    <w:p>
      <w:pPr>
        <w:ind w:left="420" w:leftChars="0" w:firstLine="422" w:firstLineChars="201"/>
        <w:rPr>
          <w:color w:val="000000"/>
          <w:szCs w:val="21"/>
        </w:rPr>
      </w:pPr>
      <w:r>
        <w:rPr>
          <w:color w:val="000000"/>
          <w:szCs w:val="21"/>
        </w:rPr>
        <w:drawing>
          <wp:inline distT="0" distB="0" distL="0" distR="0">
            <wp:extent cx="5608955" cy="2969260"/>
            <wp:effectExtent l="0" t="0" r="0" b="2540"/>
            <wp:docPr id="1856" name="图片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 name="图片 18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608955" cy="2969260"/>
                    </a:xfrm>
                    <a:prstGeom prst="rect">
                      <a:avLst/>
                    </a:prstGeom>
                    <a:noFill/>
                  </pic:spPr>
                </pic:pic>
              </a:graphicData>
            </a:graphic>
          </wp:inline>
        </w:drawing>
      </w:r>
    </w:p>
    <w:p>
      <w:pPr>
        <w:ind w:firstLine="539" w:firstLineChars="257"/>
        <w:rPr>
          <w:color w:val="000000"/>
          <w:szCs w:val="21"/>
        </w:rPr>
      </w:pPr>
    </w:p>
    <w:p>
      <w:pPr>
        <w:ind w:left="420" w:leftChars="0" w:firstLine="424" w:firstLineChars="202"/>
        <w:rPr>
          <w:color w:val="000000"/>
          <w:szCs w:val="21"/>
        </w:rPr>
      </w:pPr>
      <w:r>
        <w:rPr>
          <w:rFonts w:hint="eastAsia"/>
          <w:color w:val="000000"/>
          <w:szCs w:val="21"/>
        </w:rPr>
        <w:t>前期新能源车的去年年初暴增对大中型客车也带来促进。1</w:t>
      </w:r>
      <w:r>
        <w:rPr>
          <w:color w:val="000000"/>
          <w:szCs w:val="21"/>
        </w:rPr>
        <w:t>9</w:t>
      </w:r>
      <w:r>
        <w:rPr>
          <w:rFonts w:hint="eastAsia"/>
          <w:color w:val="000000"/>
          <w:szCs w:val="21"/>
        </w:rPr>
        <w:t>年政策压力带来结构性增长，宇通客车总体表现很强，近期厦门金龙较好。</w:t>
      </w:r>
    </w:p>
    <w:p>
      <w:pPr>
        <w:ind w:left="420" w:leftChars="0" w:firstLine="424" w:firstLineChars="202"/>
        <w:rPr>
          <w:color w:val="000000"/>
          <w:szCs w:val="21"/>
        </w:rPr>
      </w:pPr>
      <w:r>
        <w:rPr>
          <w:color w:val="000000"/>
          <w:szCs w:val="21"/>
        </w:rPr>
        <w:t>20</w:t>
      </w:r>
      <w:r>
        <w:rPr>
          <w:rFonts w:hint="eastAsia"/>
          <w:color w:val="000000"/>
          <w:szCs w:val="21"/>
        </w:rPr>
        <w:t>年1</w:t>
      </w:r>
      <w:r>
        <w:rPr>
          <w:color w:val="000000"/>
          <w:szCs w:val="21"/>
        </w:rPr>
        <w:t>-6月</w:t>
      </w:r>
      <w:r>
        <w:rPr>
          <w:rFonts w:hint="eastAsia"/>
          <w:color w:val="000000"/>
          <w:szCs w:val="21"/>
        </w:rPr>
        <w:t>的比亚迪客车表现很好。</w:t>
      </w:r>
      <w:r>
        <w:rPr>
          <w:color w:val="000000"/>
          <w:szCs w:val="21"/>
        </w:rPr>
        <w:t>20</w:t>
      </w:r>
      <w:r>
        <w:rPr>
          <w:rFonts w:hint="eastAsia"/>
          <w:color w:val="000000"/>
          <w:szCs w:val="21"/>
        </w:rPr>
        <w:t>年大客市场仍依靠新能源客车为主，随着政策延期，客车迎来政策利好，南京金龙等表现较强。</w:t>
      </w:r>
    </w:p>
    <w:bookmarkEnd w:id="30"/>
    <w:bookmarkEnd w:id="31"/>
    <w:bookmarkEnd w:id="32"/>
    <w:bookmarkEnd w:id="33"/>
    <w:p>
      <w:pPr>
        <w:ind w:firstLine="424" w:firstLineChars="202"/>
        <w:jc w:val="left"/>
        <w:rPr>
          <w:color w:val="000000" w:themeColor="text1"/>
          <w14:textFill>
            <w14:solidFill>
              <w14:schemeClr w14:val="tx1"/>
            </w14:solidFill>
          </w14:textFill>
        </w:rPr>
      </w:pPr>
    </w:p>
    <w:p>
      <w:pPr>
        <w:ind w:firstLine="420" w:firstLineChars="0"/>
        <w:outlineLvl w:val="0"/>
        <w:rPr>
          <w:rFonts w:ascii="黑体" w:eastAsia="黑体"/>
          <w:color w:val="000000"/>
          <w:sz w:val="28"/>
          <w:szCs w:val="28"/>
        </w:rPr>
      </w:pPr>
      <w:r>
        <w:rPr>
          <w:rFonts w:hint="eastAsia" w:ascii="黑体" w:eastAsia="黑体"/>
          <w:color w:val="000000"/>
          <w:sz w:val="28"/>
          <w:szCs w:val="28"/>
        </w:rPr>
        <w:t>五、</w:t>
      </w:r>
      <w:r>
        <w:rPr>
          <w:rFonts w:ascii="黑体" w:eastAsia="黑体"/>
          <w:color w:val="000000"/>
          <w:sz w:val="28"/>
          <w:szCs w:val="28"/>
        </w:rPr>
        <w:t>乘用车市场</w:t>
      </w:r>
      <w:r>
        <w:rPr>
          <w:rFonts w:hint="eastAsia" w:ascii="黑体" w:eastAsia="黑体"/>
          <w:color w:val="000000"/>
          <w:sz w:val="28"/>
          <w:szCs w:val="28"/>
        </w:rPr>
        <w:t>运行</w:t>
      </w:r>
      <w:r>
        <w:rPr>
          <w:rFonts w:ascii="黑体" w:eastAsia="黑体"/>
          <w:color w:val="000000"/>
          <w:sz w:val="28"/>
          <w:szCs w:val="28"/>
        </w:rPr>
        <w:t>表现</w:t>
      </w:r>
    </w:p>
    <w:p>
      <w:pPr>
        <w:pStyle w:val="34"/>
        <w:keepNext/>
        <w:widowControl/>
        <w:numPr>
          <w:ilvl w:val="0"/>
          <w:numId w:val="7"/>
        </w:numPr>
        <w:ind w:left="780" w:leftChars="0" w:firstLineChars="0"/>
        <w:jc w:val="left"/>
        <w:outlineLvl w:val="1"/>
        <w:rPr>
          <w:rFonts w:ascii="宋体" w:hAnsi="宋体"/>
          <w:b/>
          <w:bCs/>
          <w:iCs/>
          <w:color w:val="000000"/>
          <w:kern w:val="0"/>
          <w:szCs w:val="21"/>
        </w:rPr>
      </w:pPr>
      <w:bookmarkStart w:id="44" w:name="_Toc285960498"/>
      <w:bookmarkStart w:id="45" w:name="_Toc285960813"/>
      <w:bookmarkStart w:id="46" w:name="_Toc285960603"/>
      <w:r>
        <w:rPr>
          <w:rFonts w:hint="eastAsia" w:ascii="宋体" w:hAnsi="宋体"/>
          <w:b/>
          <w:bCs/>
          <w:iCs/>
          <w:color w:val="000000"/>
          <w:kern w:val="0"/>
          <w:szCs w:val="21"/>
        </w:rPr>
        <w:t>新品推动</w:t>
      </w:r>
    </w:p>
    <w:p>
      <w:pPr>
        <w:ind w:firstLine="424" w:firstLineChars="202"/>
        <w:rPr>
          <w:rFonts w:ascii="宋体" w:hAnsi="宋体"/>
          <w:kern w:val="0"/>
          <w:szCs w:val="21"/>
        </w:rPr>
      </w:pPr>
    </w:p>
    <w:p>
      <w:pPr>
        <w:ind w:left="420" w:leftChars="0" w:firstLine="424" w:firstLineChars="202"/>
        <w:rPr>
          <w:rFonts w:ascii="宋体" w:hAnsi="宋体"/>
          <w:kern w:val="0"/>
          <w:szCs w:val="21"/>
        </w:rPr>
      </w:pPr>
      <w:r>
        <w:drawing>
          <wp:inline distT="0" distB="0" distL="0" distR="0">
            <wp:extent cx="4679950" cy="246380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679950" cy="2463800"/>
                    </a:xfrm>
                    <a:prstGeom prst="rect">
                      <a:avLst/>
                    </a:prstGeom>
                    <a:noFill/>
                    <a:ln>
                      <a:noFill/>
                    </a:ln>
                  </pic:spPr>
                </pic:pic>
              </a:graphicData>
            </a:graphic>
          </wp:inline>
        </w:drawing>
      </w:r>
    </w:p>
    <w:p>
      <w:pPr>
        <w:ind w:firstLine="420" w:firstLineChars="0"/>
        <w:rPr>
          <w:rFonts w:ascii="宋体" w:hAnsi="宋体"/>
          <w:b/>
          <w:bCs/>
          <w:iCs/>
          <w:color w:val="000000"/>
          <w:kern w:val="0"/>
          <w:szCs w:val="21"/>
        </w:rPr>
      </w:pPr>
      <w:r>
        <w:rPr>
          <w:rFonts w:hint="eastAsia" w:ascii="宋体" w:hAnsi="宋体"/>
          <w:b/>
          <w:bCs/>
          <w:iCs/>
          <w:color w:val="000000"/>
          <w:kern w:val="0"/>
          <w:szCs w:val="21"/>
        </w:rPr>
        <w:t>随着国六标准的实施，</w:t>
      </w:r>
      <w:r>
        <w:rPr>
          <w:rFonts w:ascii="宋体" w:hAnsi="宋体"/>
          <w:b/>
          <w:bCs/>
          <w:iCs/>
          <w:color w:val="000000"/>
          <w:kern w:val="0"/>
          <w:szCs w:val="21"/>
        </w:rPr>
        <w:t>6月</w:t>
      </w:r>
      <w:r>
        <w:rPr>
          <w:rFonts w:hint="eastAsia" w:ascii="宋体" w:hAnsi="宋体"/>
          <w:b/>
          <w:bCs/>
          <w:iCs/>
          <w:color w:val="000000"/>
          <w:kern w:val="0"/>
          <w:szCs w:val="21"/>
        </w:rPr>
        <w:t>新能源新品逐步增多。</w:t>
      </w:r>
    </w:p>
    <w:p>
      <w:pPr>
        <w:rPr>
          <w:rFonts w:ascii="宋体" w:hAnsi="宋体"/>
          <w:b/>
          <w:bCs/>
          <w:iCs/>
          <w:color w:val="000000"/>
          <w:kern w:val="0"/>
          <w:szCs w:val="21"/>
        </w:rPr>
      </w:pPr>
    </w:p>
    <w:p>
      <w:pPr>
        <w:rPr>
          <w:rFonts w:ascii="宋体" w:hAnsi="宋体"/>
          <w:b/>
          <w:bCs/>
          <w:iCs/>
          <w:color w:val="000000"/>
          <w:kern w:val="0"/>
          <w:szCs w:val="21"/>
        </w:rPr>
      </w:pPr>
    </w:p>
    <w:p>
      <w:pPr>
        <w:pStyle w:val="34"/>
        <w:keepNext/>
        <w:widowControl/>
        <w:numPr>
          <w:ilvl w:val="0"/>
          <w:numId w:val="7"/>
        </w:numPr>
        <w:ind w:left="780" w:leftChars="0" w:firstLineChars="0"/>
        <w:jc w:val="left"/>
        <w:outlineLvl w:val="1"/>
        <w:rPr>
          <w:rFonts w:ascii="宋体" w:hAnsi="宋体"/>
          <w:b/>
          <w:bCs/>
          <w:iCs/>
          <w:color w:val="000000"/>
          <w:kern w:val="0"/>
          <w:szCs w:val="21"/>
        </w:rPr>
      </w:pPr>
      <w:r>
        <w:rPr>
          <w:rFonts w:hint="eastAsia" w:ascii="宋体" w:hAnsi="宋体"/>
          <w:b/>
          <w:bCs/>
          <w:iCs/>
          <w:color w:val="000000"/>
          <w:kern w:val="0"/>
          <w:szCs w:val="21"/>
        </w:rPr>
        <w:t>狭义乘用车促销表现</w:t>
      </w:r>
    </w:p>
    <w:p>
      <w:pPr>
        <w:ind w:left="420" w:leftChars="0" w:firstLine="422" w:firstLineChars="201"/>
        <w:rPr>
          <w:rFonts w:ascii="宋体" w:hAnsi="宋体"/>
          <w:color w:val="000000"/>
          <w:kern w:val="0"/>
          <w:szCs w:val="21"/>
        </w:rPr>
      </w:pPr>
      <w:r>
        <w:rPr>
          <w:rFonts w:ascii="宋体" w:hAnsi="宋体"/>
          <w:color w:val="000000"/>
          <w:kern w:val="0"/>
          <w:szCs w:val="21"/>
        </w:rPr>
        <w:drawing>
          <wp:inline distT="0" distB="0" distL="0" distR="0">
            <wp:extent cx="5718810" cy="32918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718810" cy="3291840"/>
                    </a:xfrm>
                    <a:prstGeom prst="rect">
                      <a:avLst/>
                    </a:prstGeom>
                    <a:noFill/>
                  </pic:spPr>
                </pic:pic>
              </a:graphicData>
            </a:graphic>
          </wp:inline>
        </w:drawing>
      </w:r>
    </w:p>
    <w:p>
      <w:pPr>
        <w:ind w:left="420" w:leftChars="0" w:firstLine="422" w:firstLineChars="201"/>
        <w:rPr>
          <w:rFonts w:ascii="宋体" w:hAnsi="宋体"/>
          <w:color w:val="000000"/>
          <w:kern w:val="0"/>
          <w:szCs w:val="21"/>
        </w:rPr>
      </w:pPr>
      <w:r>
        <w:rPr>
          <w:rFonts w:hint="eastAsia" w:ascii="宋体" w:hAnsi="宋体"/>
          <w:color w:val="000000"/>
          <w:kern w:val="0"/>
          <w:szCs w:val="21"/>
        </w:rPr>
        <w:t>今年车系促销力度相对较温和，尤其是</w:t>
      </w:r>
      <w:r>
        <w:rPr>
          <w:rFonts w:ascii="宋体" w:hAnsi="宋体"/>
          <w:color w:val="000000"/>
          <w:kern w:val="0"/>
          <w:szCs w:val="21"/>
        </w:rPr>
        <w:t>6月</w:t>
      </w:r>
      <w:r>
        <w:rPr>
          <w:rFonts w:hint="eastAsia" w:ascii="宋体" w:hAnsi="宋体"/>
          <w:color w:val="000000"/>
          <w:kern w:val="0"/>
          <w:szCs w:val="21"/>
        </w:rPr>
        <w:t>促销增长相对较小。今年的车市下滑等因素，导致</w:t>
      </w:r>
      <w:r>
        <w:rPr>
          <w:rFonts w:ascii="宋体" w:hAnsi="宋体"/>
          <w:color w:val="000000"/>
          <w:kern w:val="0"/>
          <w:szCs w:val="21"/>
        </w:rPr>
        <w:t>6月</w:t>
      </w:r>
      <w:r>
        <w:rPr>
          <w:rFonts w:hint="eastAsia" w:ascii="宋体" w:hAnsi="宋体"/>
          <w:color w:val="000000"/>
          <w:kern w:val="0"/>
          <w:szCs w:val="21"/>
        </w:rPr>
        <w:t>车市相对处于动荡之中，欧系和德系，以及韩系促销力度增长都相对不大。</w:t>
      </w:r>
    </w:p>
    <w:p>
      <w:pPr>
        <w:ind w:left="420" w:leftChars="0" w:firstLine="422" w:firstLineChars="201"/>
        <w:rPr>
          <w:rFonts w:ascii="宋体" w:hAnsi="宋体"/>
          <w:color w:val="000000"/>
          <w:kern w:val="0"/>
          <w:szCs w:val="21"/>
        </w:rPr>
      </w:pPr>
      <w:r>
        <w:rPr>
          <w:rFonts w:ascii="宋体" w:hAnsi="宋体"/>
          <w:color w:val="000000"/>
          <w:kern w:val="0"/>
          <w:szCs w:val="21"/>
        </w:rPr>
        <w:drawing>
          <wp:inline distT="0" distB="0" distL="0" distR="0">
            <wp:extent cx="4840605" cy="2969260"/>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840605" cy="2969260"/>
                    </a:xfrm>
                    <a:prstGeom prst="rect">
                      <a:avLst/>
                    </a:prstGeom>
                    <a:noFill/>
                  </pic:spPr>
                </pic:pic>
              </a:graphicData>
            </a:graphic>
          </wp:inline>
        </w:drawing>
      </w:r>
    </w:p>
    <w:p>
      <w:pPr>
        <w:ind w:firstLine="422" w:firstLineChars="201"/>
        <w:rPr>
          <w:rFonts w:ascii="宋体" w:hAnsi="宋体"/>
          <w:color w:val="000000"/>
          <w:kern w:val="0"/>
          <w:szCs w:val="21"/>
        </w:rPr>
      </w:pPr>
    </w:p>
    <w:p>
      <w:pPr>
        <w:ind w:left="420" w:leftChars="0" w:firstLine="422" w:firstLineChars="201"/>
        <w:rPr>
          <w:rFonts w:ascii="宋体" w:hAnsi="宋体"/>
          <w:color w:val="000000"/>
          <w:kern w:val="0"/>
          <w:szCs w:val="21"/>
        </w:rPr>
      </w:pPr>
      <w:r>
        <w:rPr>
          <w:rFonts w:hint="eastAsia" w:ascii="宋体" w:hAnsi="宋体"/>
          <w:color w:val="000000"/>
          <w:kern w:val="0"/>
          <w:szCs w:val="21"/>
        </w:rPr>
        <w:t>1</w:t>
      </w:r>
      <w:r>
        <w:rPr>
          <w:rFonts w:ascii="宋体" w:hAnsi="宋体"/>
          <w:color w:val="000000"/>
          <w:kern w:val="0"/>
          <w:szCs w:val="21"/>
        </w:rPr>
        <w:t>8</w:t>
      </w:r>
      <w:r>
        <w:rPr>
          <w:rFonts w:hint="eastAsia" w:ascii="宋体" w:hAnsi="宋体"/>
          <w:color w:val="000000"/>
          <w:kern w:val="0"/>
          <w:szCs w:val="21"/>
        </w:rPr>
        <w:t>年各级别车型促销增长均较快，最慢的是C级车，因为豪华车较强而表现很好。中低端车型表现较差，消费不旺，供需矛盾体现在价格上的压力就很大。</w:t>
      </w:r>
    </w:p>
    <w:p>
      <w:pPr>
        <w:ind w:firstLine="422" w:firstLineChars="201"/>
        <w:rPr>
          <w:rFonts w:ascii="宋体" w:hAnsi="宋体"/>
          <w:color w:val="000000"/>
          <w:kern w:val="0"/>
          <w:szCs w:val="21"/>
        </w:rPr>
      </w:pPr>
    </w:p>
    <w:p>
      <w:pPr>
        <w:ind w:firstLine="422" w:firstLineChars="201"/>
        <w:rPr>
          <w:rFonts w:ascii="宋体" w:hAnsi="宋体"/>
          <w:color w:val="000000"/>
          <w:kern w:val="0"/>
          <w:szCs w:val="21"/>
        </w:rPr>
      </w:pPr>
    </w:p>
    <w:p>
      <w:pPr>
        <w:pStyle w:val="34"/>
        <w:keepNext/>
        <w:widowControl/>
        <w:numPr>
          <w:ilvl w:val="0"/>
          <w:numId w:val="7"/>
        </w:numPr>
        <w:ind w:left="780" w:leftChars="0" w:firstLineChars="0"/>
        <w:jc w:val="left"/>
        <w:outlineLvl w:val="1"/>
        <w:rPr>
          <w:rFonts w:ascii="宋体" w:hAnsi="宋体"/>
          <w:b/>
          <w:bCs/>
          <w:iCs/>
          <w:color w:val="000000"/>
          <w:kern w:val="0"/>
          <w:szCs w:val="21"/>
        </w:rPr>
      </w:pPr>
      <w:r>
        <w:rPr>
          <w:rFonts w:hint="eastAsia" w:ascii="宋体" w:hAnsi="宋体"/>
          <w:b/>
          <w:bCs/>
          <w:iCs/>
          <w:color w:val="000000"/>
          <w:kern w:val="0"/>
          <w:szCs w:val="21"/>
        </w:rPr>
        <w:t>历年狭义乘用车促销表现</w:t>
      </w:r>
    </w:p>
    <w:p>
      <w:pPr>
        <w:ind w:left="420" w:leftChars="0" w:firstLine="422" w:firstLineChars="201"/>
        <w:rPr>
          <w:rFonts w:ascii="宋体" w:hAnsi="宋体"/>
          <w:color w:val="000000"/>
          <w:kern w:val="0"/>
          <w:szCs w:val="21"/>
        </w:rPr>
      </w:pPr>
      <w:r>
        <w:drawing>
          <wp:inline distT="0" distB="0" distL="0" distR="0">
            <wp:extent cx="5059680" cy="5280660"/>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59680" cy="5280660"/>
                    </a:xfrm>
                    <a:prstGeom prst="rect">
                      <a:avLst/>
                    </a:prstGeom>
                    <a:noFill/>
                    <a:ln>
                      <a:noFill/>
                    </a:ln>
                  </pic:spPr>
                </pic:pic>
              </a:graphicData>
            </a:graphic>
          </wp:inline>
        </w:drawing>
      </w:r>
    </w:p>
    <w:p>
      <w:pPr>
        <w:ind w:left="420" w:leftChars="0" w:firstLine="422" w:firstLineChars="201"/>
        <w:rPr>
          <w:rFonts w:ascii="宋体" w:hAnsi="宋体"/>
          <w:color w:val="000000"/>
          <w:kern w:val="0"/>
          <w:szCs w:val="21"/>
        </w:rPr>
      </w:pPr>
      <w:r>
        <w:rPr>
          <w:rFonts w:ascii="宋体" w:hAnsi="宋体"/>
          <w:color w:val="000000"/>
          <w:kern w:val="0"/>
          <w:szCs w:val="21"/>
        </w:rPr>
        <w:t>6月</w:t>
      </w:r>
      <w:r>
        <w:rPr>
          <w:rFonts w:hint="eastAsia" w:ascii="宋体" w:hAnsi="宋体"/>
          <w:color w:val="000000"/>
          <w:kern w:val="0"/>
          <w:szCs w:val="21"/>
        </w:rPr>
        <w:t>份车企促销平稳，增长较猛的是销量压力较大的，尤其是部分自主品牌的促销力度较强。促销较小的主要还是豪华车，原因在于销量回暖基本符合预期。。</w:t>
      </w:r>
    </w:p>
    <w:p>
      <w:pPr>
        <w:pStyle w:val="34"/>
        <w:keepNext/>
        <w:widowControl/>
        <w:numPr>
          <w:ilvl w:val="0"/>
          <w:numId w:val="7"/>
        </w:numPr>
        <w:ind w:left="780" w:leftChars="0" w:firstLineChars="0"/>
        <w:jc w:val="left"/>
        <w:outlineLvl w:val="1"/>
        <w:rPr>
          <w:rFonts w:ascii="宋体" w:hAnsi="宋体"/>
          <w:b/>
          <w:bCs/>
          <w:iCs/>
          <w:color w:val="000000"/>
          <w:kern w:val="0"/>
          <w:szCs w:val="21"/>
        </w:rPr>
      </w:pPr>
      <w:r>
        <w:rPr>
          <w:rFonts w:hint="eastAsia" w:ascii="宋体" w:hAnsi="宋体"/>
          <w:b/>
          <w:bCs/>
          <w:iCs/>
          <w:color w:val="000000"/>
          <w:kern w:val="0"/>
          <w:szCs w:val="21"/>
        </w:rPr>
        <w:t>自主狭义乘用车表现</w:t>
      </w:r>
    </w:p>
    <w:bookmarkEnd w:id="44"/>
    <w:bookmarkEnd w:id="45"/>
    <w:bookmarkEnd w:id="46"/>
    <w:p>
      <w:pPr>
        <w:ind w:left="420" w:leftChars="0" w:firstLine="424" w:firstLineChars="202"/>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7114540" cy="35179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7114540" cy="3517900"/>
                    </a:xfrm>
                    <a:prstGeom prst="rect">
                      <a:avLst/>
                    </a:prstGeom>
                    <a:noFill/>
                  </pic:spPr>
                </pic:pic>
              </a:graphicData>
            </a:graphic>
          </wp:inline>
        </w:drawing>
      </w:r>
    </w:p>
    <w:p>
      <w:pPr>
        <w:ind w:firstLine="424" w:firstLineChars="202"/>
        <w:jc w:val="left"/>
        <w:rPr>
          <w:color w:val="000000" w:themeColor="text1"/>
          <w14:textFill>
            <w14:solidFill>
              <w14:schemeClr w14:val="tx1"/>
            </w14:solidFill>
          </w14:textFill>
        </w:rPr>
      </w:pPr>
    </w:p>
    <w:p>
      <w:pPr>
        <w:ind w:firstLine="431"/>
        <w:jc w:val="left"/>
        <w:rPr>
          <w:rFonts w:ascii="宋体" w:hAnsi="宋体"/>
          <w:kern w:val="0"/>
          <w:szCs w:val="21"/>
        </w:rPr>
      </w:pPr>
      <w:bookmarkStart w:id="47" w:name="_Hlk485545723"/>
      <w:bookmarkStart w:id="48" w:name="_Hlk480119643"/>
      <w:bookmarkStart w:id="49" w:name="_Toc285960455"/>
      <w:bookmarkStart w:id="50" w:name="_Toc285960770"/>
      <w:bookmarkStart w:id="51" w:name="_Toc285960560"/>
      <w:bookmarkStart w:id="52" w:name="_Toc285961925"/>
    </w:p>
    <w:bookmarkEnd w:id="47"/>
    <w:bookmarkEnd w:id="48"/>
    <w:p>
      <w:pPr>
        <w:pStyle w:val="2"/>
        <w:spacing w:before="0" w:after="0"/>
        <w:ind w:firstLine="420" w:firstLineChars="0"/>
        <w:rPr>
          <w:rFonts w:ascii="黑体" w:eastAsia="黑体"/>
          <w:color w:val="000000"/>
          <w:sz w:val="28"/>
          <w:szCs w:val="28"/>
        </w:rPr>
      </w:pPr>
      <w:r>
        <w:rPr>
          <w:rFonts w:hint="eastAsia" w:ascii="黑体" w:eastAsia="黑体"/>
          <w:color w:val="000000"/>
          <w:sz w:val="28"/>
          <w:szCs w:val="28"/>
        </w:rPr>
        <w:t>五、</w:t>
      </w:r>
      <w:r>
        <w:rPr>
          <w:rFonts w:ascii="黑体" w:eastAsia="黑体"/>
          <w:color w:val="000000"/>
          <w:sz w:val="28"/>
          <w:szCs w:val="28"/>
        </w:rPr>
        <w:t>乘用车</w:t>
      </w:r>
      <w:r>
        <w:rPr>
          <w:rFonts w:hint="eastAsia" w:ascii="黑体" w:eastAsia="黑体"/>
          <w:color w:val="000000"/>
          <w:sz w:val="28"/>
          <w:szCs w:val="28"/>
        </w:rPr>
        <w:t>细分</w:t>
      </w:r>
      <w:r>
        <w:rPr>
          <w:rFonts w:ascii="黑体" w:eastAsia="黑体"/>
          <w:color w:val="000000"/>
          <w:sz w:val="28"/>
          <w:szCs w:val="28"/>
        </w:rPr>
        <w:t>市场</w:t>
      </w:r>
      <w:r>
        <w:rPr>
          <w:rFonts w:hint="eastAsia" w:ascii="黑体" w:eastAsia="黑体"/>
          <w:color w:val="000000"/>
          <w:sz w:val="28"/>
          <w:szCs w:val="28"/>
        </w:rPr>
        <w:t>竞争表现</w:t>
      </w:r>
    </w:p>
    <w:p>
      <w:pPr>
        <w:widowControl/>
        <w:ind w:left="420" w:leftChars="0" w:firstLine="424" w:firstLineChars="201"/>
        <w:jc w:val="left"/>
        <w:rPr>
          <w:rFonts w:ascii="宋体" w:hAnsi="宋体"/>
          <w:b/>
          <w:bCs/>
          <w:color w:val="FF0000"/>
          <w:kern w:val="0"/>
          <w:szCs w:val="21"/>
        </w:rPr>
      </w:pPr>
      <w:r>
        <w:rPr>
          <w:rFonts w:hint="eastAsia" w:ascii="宋体" w:hAnsi="宋体"/>
          <w:b/>
          <w:bCs/>
          <w:color w:val="FF0000"/>
          <w:kern w:val="0"/>
          <w:szCs w:val="21"/>
        </w:rPr>
        <w:t>1、总体生产经营表现</w:t>
      </w:r>
    </w:p>
    <w:p>
      <w:pPr>
        <w:widowControl/>
        <w:ind w:left="420" w:leftChars="0" w:firstLine="422" w:firstLineChars="201"/>
        <w:jc w:val="left"/>
        <w:rPr>
          <w:rFonts w:ascii="宋体" w:hAnsi="宋体"/>
          <w:kern w:val="0"/>
          <w:szCs w:val="21"/>
        </w:rPr>
      </w:pPr>
      <w:r>
        <w:drawing>
          <wp:inline distT="0" distB="0" distL="0" distR="0">
            <wp:extent cx="4775200" cy="5156200"/>
            <wp:effectExtent l="0" t="0" r="635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775200" cy="5156200"/>
                    </a:xfrm>
                    <a:prstGeom prst="rect">
                      <a:avLst/>
                    </a:prstGeom>
                    <a:noFill/>
                    <a:ln>
                      <a:noFill/>
                    </a:ln>
                  </pic:spPr>
                </pic:pic>
              </a:graphicData>
            </a:graphic>
          </wp:inline>
        </w:drawing>
      </w:r>
    </w:p>
    <w:p>
      <w:pPr>
        <w:widowControl/>
        <w:ind w:firstLine="422" w:firstLineChars="201"/>
        <w:jc w:val="left"/>
        <w:rPr>
          <w:rFonts w:ascii="宋体" w:hAnsi="宋体"/>
          <w:kern w:val="0"/>
          <w:szCs w:val="21"/>
        </w:rPr>
      </w:pPr>
    </w:p>
    <w:p>
      <w:pPr>
        <w:numPr>
          <w:ilvl w:val="0"/>
          <w:numId w:val="8"/>
        </w:numPr>
        <w:ind w:left="982" w:leftChars="0"/>
        <w:outlineLvl w:val="1"/>
        <w:rPr>
          <w:rFonts w:ascii="黑体" w:hAnsi="黑体" w:eastAsia="黑体"/>
          <w:b/>
          <w:bCs/>
          <w:color w:val="FF0000"/>
          <w:szCs w:val="21"/>
        </w:rPr>
      </w:pPr>
      <w:bookmarkStart w:id="53" w:name="_Hlk485545666"/>
      <w:bookmarkStart w:id="54" w:name="_Hlk480119618"/>
      <w:r>
        <w:rPr>
          <w:rFonts w:ascii="黑体" w:hAnsi="黑体" w:eastAsia="黑体"/>
          <w:b/>
          <w:bCs/>
          <w:color w:val="FF0000"/>
          <w:szCs w:val="21"/>
        </w:rPr>
        <w:t>20</w:t>
      </w:r>
      <w:r>
        <w:rPr>
          <w:rFonts w:hint="eastAsia" w:ascii="黑体" w:hAnsi="黑体" w:eastAsia="黑体"/>
          <w:b/>
          <w:bCs/>
          <w:color w:val="FF0000"/>
          <w:szCs w:val="21"/>
        </w:rPr>
        <w:t>年6月主力车企批发表现分化</w:t>
      </w:r>
    </w:p>
    <w:p>
      <w:pPr>
        <w:snapToGrid w:val="0"/>
        <w:ind w:firstLine="441" w:firstLineChars="210"/>
        <w:jc w:val="left"/>
        <w:rPr>
          <w:rFonts w:asciiTheme="minorHAnsi" w:hAnsiTheme="minorHAnsi" w:eastAsiaTheme="minorEastAsia" w:cstheme="minorBidi"/>
          <w:szCs w:val="21"/>
        </w:rPr>
      </w:pPr>
    </w:p>
    <w:p>
      <w:pPr>
        <w:snapToGrid w:val="0"/>
        <w:ind w:left="420" w:leftChars="0" w:firstLine="441" w:firstLineChars="210"/>
        <w:jc w:val="left"/>
        <w:rPr>
          <w:rFonts w:asciiTheme="minorHAnsi" w:hAnsiTheme="minorHAnsi" w:eastAsiaTheme="minorEastAsia" w:cstheme="minorBidi"/>
          <w:szCs w:val="21"/>
        </w:rPr>
      </w:pPr>
      <w:r>
        <w:drawing>
          <wp:inline distT="0" distB="0" distL="0" distR="0">
            <wp:extent cx="4775200" cy="5156200"/>
            <wp:effectExtent l="0" t="0" r="635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775200" cy="5156200"/>
                    </a:xfrm>
                    <a:prstGeom prst="rect">
                      <a:avLst/>
                    </a:prstGeom>
                    <a:noFill/>
                    <a:ln>
                      <a:noFill/>
                    </a:ln>
                  </pic:spPr>
                </pic:pic>
              </a:graphicData>
            </a:graphic>
          </wp:inline>
        </w:drawing>
      </w:r>
    </w:p>
    <w:p>
      <w:pPr>
        <w:snapToGrid w:val="0"/>
        <w:ind w:firstLine="441" w:firstLineChars="210"/>
        <w:jc w:val="left"/>
        <w:rPr>
          <w:rFonts w:asciiTheme="minorHAnsi" w:hAnsiTheme="minorHAnsi" w:eastAsiaTheme="minorEastAsia" w:cstheme="minorBidi"/>
          <w:szCs w:val="21"/>
        </w:rPr>
      </w:pPr>
    </w:p>
    <w:p>
      <w:pPr>
        <w:snapToGrid w:val="0"/>
        <w:ind w:firstLine="441" w:firstLineChars="210"/>
        <w:jc w:val="left"/>
        <w:rPr>
          <w:rFonts w:asciiTheme="minorHAnsi" w:hAnsiTheme="minorHAnsi" w:eastAsiaTheme="minorEastAsia" w:cstheme="minorBidi"/>
          <w:szCs w:val="21"/>
        </w:rPr>
      </w:pPr>
    </w:p>
    <w:p>
      <w:pPr>
        <w:snapToGrid w:val="0"/>
        <w:ind w:left="420" w:leftChars="0" w:firstLine="441" w:firstLineChars="210"/>
        <w:jc w:val="left"/>
        <w:rPr>
          <w:rFonts w:asciiTheme="minorHAnsi" w:hAnsiTheme="minorHAnsi" w:eastAsiaTheme="minorEastAsia" w:cstheme="minorBidi"/>
          <w:szCs w:val="21"/>
        </w:rPr>
      </w:pPr>
      <w:r>
        <w:rPr>
          <w:rFonts w:hint="eastAsia" w:asciiTheme="minorHAnsi" w:hAnsiTheme="minorHAnsi" w:eastAsiaTheme="minorEastAsia" w:cstheme="minorBidi"/>
          <w:szCs w:val="21"/>
        </w:rPr>
        <w:t>从厂家批发看，</w:t>
      </w:r>
      <w:r>
        <w:rPr>
          <w:rFonts w:asciiTheme="minorHAnsi" w:hAnsiTheme="minorHAnsi" w:eastAsiaTheme="minorEastAsia" w:cstheme="minorBidi"/>
          <w:szCs w:val="21"/>
        </w:rPr>
        <w:t>20</w:t>
      </w:r>
      <w:r>
        <w:rPr>
          <w:rFonts w:hint="eastAsia" w:asciiTheme="minorHAnsi" w:hAnsiTheme="minorHAnsi" w:eastAsiaTheme="minorEastAsia" w:cstheme="minorBidi"/>
          <w:szCs w:val="21"/>
        </w:rPr>
        <w:t>年6月的前10位主力车企的销量贡献度强于</w:t>
      </w:r>
      <w:r>
        <w:rPr>
          <w:rFonts w:asciiTheme="minorHAnsi" w:hAnsiTheme="minorHAnsi" w:eastAsiaTheme="minorEastAsia" w:cstheme="minorBidi"/>
          <w:szCs w:val="21"/>
        </w:rPr>
        <w:t>19</w:t>
      </w:r>
      <w:r>
        <w:rPr>
          <w:rFonts w:hint="eastAsia" w:asciiTheme="minorHAnsi" w:hAnsiTheme="minorHAnsi" w:eastAsiaTheme="minorEastAsia" w:cstheme="minorBidi"/>
          <w:szCs w:val="21"/>
        </w:rPr>
        <w:t>年的的主力车企的份额占比表现，也体现了6月的中小企业表现较差。</w:t>
      </w:r>
    </w:p>
    <w:p>
      <w:pPr>
        <w:snapToGrid w:val="0"/>
        <w:ind w:left="420" w:leftChars="0" w:firstLine="441" w:firstLineChars="210"/>
        <w:jc w:val="left"/>
        <w:rPr>
          <w:rFonts w:asciiTheme="minorHAnsi" w:hAnsiTheme="minorHAnsi" w:eastAsiaTheme="minorEastAsia" w:cstheme="minorBidi"/>
          <w:szCs w:val="21"/>
        </w:rPr>
      </w:pPr>
      <w:r>
        <w:rPr>
          <w:rFonts w:asciiTheme="minorHAnsi" w:hAnsiTheme="minorHAnsi" w:eastAsiaTheme="minorEastAsia" w:cstheme="minorBidi"/>
          <w:szCs w:val="21"/>
        </w:rPr>
        <w:t>20</w:t>
      </w:r>
      <w:r>
        <w:rPr>
          <w:rFonts w:hint="eastAsia" w:asciiTheme="minorHAnsi" w:hAnsiTheme="minorHAnsi" w:eastAsiaTheme="minorEastAsia" w:cstheme="minorBidi"/>
          <w:szCs w:val="21"/>
        </w:rPr>
        <w:t>年6月的前5位增量主力车企的增量差异，豪华车与合资车企较强，自主偏弱，奔驰宝马和丰田现代较强。自主部分主力车企增速较快，长城等自主领先企业增长较好，其中自主的红旗品牌的增长超强。</w:t>
      </w:r>
    </w:p>
    <w:p>
      <w:pPr>
        <w:snapToGrid w:val="0"/>
        <w:ind w:firstLine="441" w:firstLineChars="210"/>
        <w:jc w:val="left"/>
        <w:rPr>
          <w:rFonts w:asciiTheme="minorHAnsi" w:hAnsiTheme="minorHAnsi" w:eastAsiaTheme="minorEastAsia" w:cstheme="minorBidi"/>
          <w:szCs w:val="21"/>
        </w:rPr>
      </w:pPr>
    </w:p>
    <w:p>
      <w:pPr>
        <w:snapToGrid w:val="0"/>
        <w:ind w:left="420" w:leftChars="0" w:firstLine="441" w:firstLineChars="210"/>
        <w:jc w:val="left"/>
        <w:rPr>
          <w:rFonts w:asciiTheme="minorHAnsi" w:hAnsiTheme="minorHAnsi" w:eastAsiaTheme="minorEastAsia" w:cstheme="minorBidi"/>
          <w:szCs w:val="21"/>
        </w:rPr>
      </w:pPr>
      <w:r>
        <w:drawing>
          <wp:inline distT="0" distB="0" distL="0" distR="0">
            <wp:extent cx="4876800" cy="51562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876800" cy="5156200"/>
                    </a:xfrm>
                    <a:prstGeom prst="rect">
                      <a:avLst/>
                    </a:prstGeom>
                    <a:noFill/>
                    <a:ln>
                      <a:noFill/>
                    </a:ln>
                  </pic:spPr>
                </pic:pic>
              </a:graphicData>
            </a:graphic>
          </wp:inline>
        </w:drawing>
      </w:r>
    </w:p>
    <w:p>
      <w:pPr>
        <w:snapToGrid w:val="0"/>
        <w:ind w:firstLine="441" w:firstLineChars="210"/>
        <w:jc w:val="left"/>
        <w:rPr>
          <w:rFonts w:asciiTheme="minorHAnsi" w:hAnsiTheme="minorHAnsi" w:eastAsiaTheme="minorEastAsia" w:cstheme="minorBidi"/>
          <w:szCs w:val="21"/>
        </w:rPr>
      </w:pPr>
    </w:p>
    <w:p>
      <w:pPr>
        <w:snapToGrid w:val="0"/>
        <w:ind w:left="420" w:leftChars="0" w:firstLine="441" w:firstLineChars="210"/>
        <w:jc w:val="left"/>
        <w:rPr>
          <w:rFonts w:asciiTheme="minorHAnsi" w:hAnsiTheme="minorHAnsi" w:eastAsiaTheme="minorEastAsia" w:cstheme="minorBidi"/>
          <w:szCs w:val="21"/>
        </w:rPr>
      </w:pPr>
      <w:r>
        <w:rPr>
          <w:rFonts w:asciiTheme="minorHAnsi" w:hAnsiTheme="minorHAnsi" w:eastAsiaTheme="minorEastAsia" w:cstheme="minorBidi"/>
          <w:szCs w:val="21"/>
        </w:rPr>
        <w:t>从20年的增量贡献度看</w:t>
      </w:r>
      <w:r>
        <w:rPr>
          <w:rFonts w:hint="eastAsia" w:asciiTheme="minorHAnsi" w:hAnsiTheme="minorHAnsi" w:eastAsiaTheme="minorEastAsia" w:cstheme="minorBidi"/>
          <w:szCs w:val="21"/>
        </w:rPr>
        <w:t>，增</w:t>
      </w:r>
      <w:r>
        <w:rPr>
          <w:rFonts w:asciiTheme="minorHAnsi" w:hAnsiTheme="minorHAnsi" w:eastAsiaTheme="minorEastAsia" w:cstheme="minorBidi"/>
          <w:szCs w:val="21"/>
        </w:rPr>
        <w:t>量的主要是部分</w:t>
      </w:r>
      <w:r>
        <w:rPr>
          <w:rFonts w:hint="eastAsia" w:asciiTheme="minorHAnsi" w:hAnsiTheme="minorHAnsi" w:eastAsiaTheme="minorEastAsia" w:cstheme="minorBidi"/>
          <w:szCs w:val="21"/>
        </w:rPr>
        <w:t>国有自主。</w:t>
      </w:r>
      <w:r>
        <w:rPr>
          <w:rFonts w:asciiTheme="minorHAnsi" w:hAnsiTheme="minorHAnsi" w:eastAsiaTheme="minorEastAsia" w:cstheme="minorBidi"/>
          <w:szCs w:val="21"/>
        </w:rPr>
        <w:t>自主的</w:t>
      </w:r>
      <w:r>
        <w:rPr>
          <w:rFonts w:hint="eastAsia" w:asciiTheme="minorHAnsi" w:hAnsiTheme="minorHAnsi" w:eastAsiaTheme="minorEastAsia" w:cstheme="minorBidi"/>
          <w:szCs w:val="21"/>
        </w:rPr>
        <w:t>吉利、长安等表现都很好。</w:t>
      </w:r>
    </w:p>
    <w:p>
      <w:pPr>
        <w:snapToGrid w:val="0"/>
        <w:ind w:left="420" w:leftChars="0" w:firstLine="441" w:firstLineChars="210"/>
        <w:jc w:val="left"/>
        <w:rPr>
          <w:rFonts w:asciiTheme="minorHAnsi" w:hAnsiTheme="minorHAnsi" w:eastAsiaTheme="minorEastAsia" w:cstheme="minorBidi"/>
          <w:szCs w:val="21"/>
        </w:rPr>
      </w:pPr>
      <w:r>
        <w:drawing>
          <wp:inline distT="0" distB="0" distL="0" distR="0">
            <wp:extent cx="4921250" cy="51562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921250" cy="5156200"/>
                    </a:xfrm>
                    <a:prstGeom prst="rect">
                      <a:avLst/>
                    </a:prstGeom>
                    <a:noFill/>
                    <a:ln>
                      <a:noFill/>
                    </a:ln>
                  </pic:spPr>
                </pic:pic>
              </a:graphicData>
            </a:graphic>
          </wp:inline>
        </w:drawing>
      </w:r>
    </w:p>
    <w:p>
      <w:pPr>
        <w:snapToGrid w:val="0"/>
        <w:ind w:firstLine="441" w:firstLineChars="210"/>
        <w:jc w:val="left"/>
        <w:rPr>
          <w:rFonts w:asciiTheme="minorHAnsi" w:hAnsiTheme="minorHAnsi" w:eastAsiaTheme="minorEastAsia" w:cstheme="minorBidi"/>
          <w:szCs w:val="21"/>
        </w:rPr>
      </w:pPr>
    </w:p>
    <w:bookmarkEnd w:id="53"/>
    <w:p>
      <w:pPr>
        <w:numPr>
          <w:ilvl w:val="0"/>
          <w:numId w:val="8"/>
        </w:numPr>
        <w:ind w:left="982" w:leftChars="0"/>
        <w:outlineLvl w:val="1"/>
        <w:rPr>
          <w:rFonts w:ascii="宋体" w:hAnsi="宋体"/>
          <w:b/>
          <w:bCs/>
          <w:iCs/>
          <w:color w:val="000000"/>
          <w:kern w:val="0"/>
          <w:szCs w:val="21"/>
        </w:rPr>
      </w:pPr>
      <w:r>
        <w:rPr>
          <w:rFonts w:hint="eastAsia" w:ascii="黑体" w:hAnsi="黑体" w:eastAsia="黑体"/>
          <w:bCs/>
          <w:szCs w:val="21"/>
        </w:rPr>
        <w:t>乘用车主力车型批发零售的表现</w:t>
      </w:r>
    </w:p>
    <w:p>
      <w:pPr>
        <w:ind w:left="420" w:leftChars="0" w:firstLine="422" w:firstLineChars="201"/>
        <w:jc w:val="left"/>
        <w:rPr>
          <w:rFonts w:ascii="宋体" w:hAnsi="宋体"/>
          <w:kern w:val="0"/>
          <w:szCs w:val="21"/>
        </w:rPr>
      </w:pPr>
      <w:r>
        <w:drawing>
          <wp:inline distT="0" distB="0" distL="0" distR="0">
            <wp:extent cx="4114800" cy="515620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114800" cy="5156200"/>
                    </a:xfrm>
                    <a:prstGeom prst="rect">
                      <a:avLst/>
                    </a:prstGeom>
                    <a:noFill/>
                    <a:ln>
                      <a:noFill/>
                    </a:ln>
                  </pic:spPr>
                </pic:pic>
              </a:graphicData>
            </a:graphic>
          </wp:inline>
        </w:drawing>
      </w:r>
    </w:p>
    <w:p>
      <w:pPr>
        <w:ind w:firstLine="422" w:firstLineChars="201"/>
        <w:jc w:val="left"/>
        <w:rPr>
          <w:rFonts w:ascii="宋体" w:hAnsi="宋体"/>
          <w:kern w:val="0"/>
          <w:szCs w:val="21"/>
        </w:rPr>
      </w:pPr>
    </w:p>
    <w:p>
      <w:pPr>
        <w:ind w:firstLine="422" w:firstLineChars="201"/>
        <w:jc w:val="left"/>
        <w:rPr>
          <w:rFonts w:ascii="宋体" w:hAnsi="宋体"/>
          <w:kern w:val="0"/>
          <w:szCs w:val="21"/>
        </w:rPr>
      </w:pPr>
    </w:p>
    <w:p>
      <w:pPr>
        <w:ind w:left="420" w:leftChars="0" w:firstLine="422" w:firstLineChars="201"/>
        <w:jc w:val="left"/>
        <w:rPr>
          <w:rFonts w:ascii="宋体" w:hAnsi="宋体"/>
          <w:kern w:val="0"/>
          <w:szCs w:val="21"/>
        </w:rPr>
      </w:pPr>
      <w:r>
        <w:rPr>
          <w:rFonts w:hint="eastAsia" w:ascii="宋体" w:hAnsi="宋体"/>
          <w:kern w:val="0"/>
          <w:szCs w:val="21"/>
        </w:rPr>
        <w:t>6月轿车主力品牌的批发表现相对不强，前十位品牌占比</w:t>
      </w:r>
      <w:r>
        <w:rPr>
          <w:rFonts w:ascii="宋体" w:hAnsi="宋体"/>
          <w:kern w:val="0"/>
          <w:szCs w:val="21"/>
        </w:rPr>
        <w:t>18</w:t>
      </w:r>
      <w:r>
        <w:rPr>
          <w:rFonts w:hint="eastAsia" w:ascii="宋体" w:hAnsi="宋体"/>
          <w:kern w:val="0"/>
          <w:szCs w:val="21"/>
        </w:rPr>
        <w:t>%，较去年的</w:t>
      </w:r>
      <w:r>
        <w:rPr>
          <w:rFonts w:ascii="宋体" w:hAnsi="宋体"/>
          <w:kern w:val="0"/>
          <w:szCs w:val="21"/>
        </w:rPr>
        <w:t>30</w:t>
      </w:r>
      <w:r>
        <w:rPr>
          <w:rFonts w:hint="eastAsia" w:ascii="宋体" w:hAnsi="宋体"/>
          <w:kern w:val="0"/>
          <w:szCs w:val="21"/>
        </w:rPr>
        <w:t>%上升2个百分点。6月日系品牌表现优秀。6月增量较强的品牌是荣威I</w:t>
      </w:r>
      <w:r>
        <w:rPr>
          <w:rFonts w:ascii="宋体" w:hAnsi="宋体"/>
          <w:kern w:val="0"/>
          <w:szCs w:val="21"/>
        </w:rPr>
        <w:t>5\</w:t>
      </w:r>
      <w:r>
        <w:rPr>
          <w:rFonts w:hint="eastAsia" w:ascii="宋体" w:hAnsi="宋体"/>
          <w:kern w:val="0"/>
          <w:szCs w:val="21"/>
        </w:rPr>
        <w:t>缤瑞、轩逸、菲斯塔等前期低基数的车型。其中表现相对优秀的是部分合资品牌。</w:t>
      </w:r>
    </w:p>
    <w:p>
      <w:pPr>
        <w:ind w:left="420" w:leftChars="0" w:firstLine="422" w:firstLineChars="201"/>
        <w:jc w:val="left"/>
        <w:rPr>
          <w:rFonts w:ascii="宋体" w:hAnsi="宋体"/>
          <w:kern w:val="0"/>
          <w:szCs w:val="21"/>
        </w:rPr>
      </w:pPr>
      <w:r>
        <w:drawing>
          <wp:inline distT="0" distB="0" distL="0" distR="0">
            <wp:extent cx="4457700" cy="51562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457700" cy="5156200"/>
                    </a:xfrm>
                    <a:prstGeom prst="rect">
                      <a:avLst/>
                    </a:prstGeom>
                    <a:noFill/>
                    <a:ln>
                      <a:noFill/>
                    </a:ln>
                  </pic:spPr>
                </pic:pic>
              </a:graphicData>
            </a:graphic>
          </wp:inline>
        </w:drawing>
      </w:r>
    </w:p>
    <w:p>
      <w:pPr>
        <w:ind w:firstLine="422" w:firstLineChars="201"/>
        <w:jc w:val="left"/>
        <w:rPr>
          <w:rFonts w:ascii="宋体" w:hAnsi="宋体"/>
          <w:kern w:val="0"/>
          <w:szCs w:val="21"/>
        </w:rPr>
      </w:pPr>
    </w:p>
    <w:p>
      <w:pPr>
        <w:ind w:firstLine="422" w:firstLineChars="201"/>
        <w:jc w:val="left"/>
        <w:rPr>
          <w:rFonts w:ascii="宋体" w:hAnsi="宋体"/>
          <w:kern w:val="0"/>
          <w:szCs w:val="21"/>
        </w:rPr>
      </w:pPr>
    </w:p>
    <w:p>
      <w:pPr>
        <w:numPr>
          <w:ilvl w:val="0"/>
          <w:numId w:val="8"/>
        </w:numPr>
        <w:ind w:left="840" w:leftChars="0" w:firstLine="2"/>
        <w:jc w:val="left"/>
        <w:outlineLvl w:val="1"/>
        <w:rPr>
          <w:rFonts w:ascii="宋体" w:hAnsi="宋体"/>
          <w:kern w:val="0"/>
          <w:szCs w:val="21"/>
        </w:rPr>
      </w:pPr>
      <w:r>
        <w:rPr>
          <w:rFonts w:hint="eastAsia" w:ascii="黑体" w:hAnsi="黑体" w:eastAsia="黑体"/>
          <w:bCs/>
          <w:szCs w:val="21"/>
        </w:rPr>
        <w:t>轿车主力车型批发零售的表现</w:t>
      </w:r>
      <w:bookmarkEnd w:id="54"/>
    </w:p>
    <w:p>
      <w:pPr>
        <w:ind w:left="420" w:firstLine="2"/>
        <w:jc w:val="left"/>
        <w:rPr>
          <w:rFonts w:ascii="宋体" w:hAnsi="宋体"/>
          <w:kern w:val="0"/>
          <w:szCs w:val="21"/>
        </w:rPr>
      </w:pPr>
    </w:p>
    <w:p>
      <w:pPr>
        <w:ind w:left="840" w:leftChars="0" w:firstLine="2"/>
        <w:jc w:val="left"/>
        <w:rPr>
          <w:rFonts w:ascii="宋体" w:hAnsi="宋体"/>
          <w:kern w:val="0"/>
          <w:szCs w:val="21"/>
        </w:rPr>
      </w:pPr>
      <w:r>
        <w:drawing>
          <wp:inline distT="0" distB="0" distL="0" distR="0">
            <wp:extent cx="4356100" cy="5156200"/>
            <wp:effectExtent l="0" t="0" r="635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356100" cy="5156200"/>
                    </a:xfrm>
                    <a:prstGeom prst="rect">
                      <a:avLst/>
                    </a:prstGeom>
                    <a:noFill/>
                    <a:ln>
                      <a:noFill/>
                    </a:ln>
                  </pic:spPr>
                </pic:pic>
              </a:graphicData>
            </a:graphic>
          </wp:inline>
        </w:drawing>
      </w:r>
    </w:p>
    <w:p>
      <w:pPr>
        <w:ind w:left="840" w:leftChars="0" w:firstLine="2"/>
        <w:jc w:val="left"/>
        <w:rPr>
          <w:rFonts w:ascii="宋体" w:hAnsi="宋体"/>
          <w:kern w:val="0"/>
          <w:szCs w:val="21"/>
        </w:rPr>
      </w:pPr>
      <w:r>
        <w:rPr>
          <w:rFonts w:hint="eastAsia" w:ascii="宋体" w:hAnsi="宋体"/>
          <w:kern w:val="0"/>
          <w:szCs w:val="21"/>
        </w:rPr>
        <w:t>6月轿车主力车型零售表现相对较强，自主品牌表现都是很好，而下滑的主要是老款轿车品牌。</w:t>
      </w:r>
    </w:p>
    <w:p>
      <w:pPr>
        <w:ind w:left="840" w:leftChars="0" w:firstLine="2"/>
        <w:jc w:val="left"/>
        <w:rPr>
          <w:rFonts w:ascii="宋体" w:hAnsi="宋体"/>
          <w:kern w:val="0"/>
          <w:szCs w:val="21"/>
        </w:rPr>
      </w:pPr>
      <w:r>
        <w:rPr>
          <w:rFonts w:hint="eastAsia"/>
        </w:rPr>
        <w:drawing>
          <wp:inline distT="0" distB="0" distL="0" distR="0">
            <wp:extent cx="4356100" cy="5156200"/>
            <wp:effectExtent l="0" t="0" r="635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356100" cy="5156200"/>
                    </a:xfrm>
                    <a:prstGeom prst="rect">
                      <a:avLst/>
                    </a:prstGeom>
                    <a:noFill/>
                    <a:ln>
                      <a:noFill/>
                    </a:ln>
                  </pic:spPr>
                </pic:pic>
              </a:graphicData>
            </a:graphic>
          </wp:inline>
        </w:drawing>
      </w:r>
    </w:p>
    <w:p>
      <w:pPr>
        <w:ind w:left="420" w:leftChars="0" w:firstLine="422" w:firstLineChars="201"/>
        <w:jc w:val="left"/>
        <w:rPr>
          <w:rFonts w:ascii="宋体" w:hAnsi="宋体"/>
          <w:kern w:val="0"/>
          <w:szCs w:val="21"/>
        </w:rPr>
      </w:pPr>
      <w:r>
        <w:rPr>
          <w:rFonts w:ascii="宋体" w:hAnsi="宋体"/>
          <w:kern w:val="0"/>
          <w:szCs w:val="21"/>
        </w:rPr>
        <w:t>今年的主力车型的零售相对</w:t>
      </w:r>
      <w:r>
        <w:rPr>
          <w:rFonts w:hint="eastAsia" w:ascii="宋体" w:hAnsi="宋体"/>
          <w:kern w:val="0"/>
          <w:szCs w:val="21"/>
        </w:rPr>
        <w:t>一般。主要增量的车型相对分散，增量的是合资部分新品和自主SUV车型。</w:t>
      </w:r>
    </w:p>
    <w:p>
      <w:pPr>
        <w:ind w:left="420" w:firstLine="2"/>
        <w:jc w:val="left"/>
        <w:rPr>
          <w:rFonts w:ascii="宋体" w:hAnsi="宋体"/>
          <w:kern w:val="0"/>
          <w:szCs w:val="21"/>
        </w:rPr>
      </w:pPr>
    </w:p>
    <w:p>
      <w:pPr>
        <w:numPr>
          <w:ilvl w:val="0"/>
          <w:numId w:val="8"/>
        </w:numPr>
        <w:ind w:left="982" w:leftChars="0"/>
        <w:outlineLvl w:val="1"/>
        <w:rPr>
          <w:rFonts w:ascii="宋体" w:hAnsi="宋体"/>
          <w:b/>
          <w:bCs/>
          <w:iCs/>
          <w:color w:val="000000"/>
          <w:kern w:val="0"/>
          <w:szCs w:val="21"/>
        </w:rPr>
      </w:pPr>
      <w:r>
        <w:rPr>
          <w:rFonts w:hint="eastAsia" w:ascii="黑体" w:hAnsi="黑体" w:eastAsia="黑体"/>
          <w:bCs/>
          <w:szCs w:val="21"/>
        </w:rPr>
        <w:t>M</w:t>
      </w:r>
      <w:r>
        <w:rPr>
          <w:rFonts w:ascii="黑体" w:hAnsi="黑体" w:eastAsia="黑体"/>
          <w:bCs/>
          <w:szCs w:val="21"/>
        </w:rPr>
        <w:t>PV</w:t>
      </w:r>
      <w:r>
        <w:rPr>
          <w:rFonts w:hint="eastAsia" w:ascii="黑体" w:hAnsi="黑体" w:eastAsia="黑体"/>
          <w:bCs/>
          <w:szCs w:val="21"/>
        </w:rPr>
        <w:t>主力车型零售的表现</w:t>
      </w:r>
    </w:p>
    <w:p>
      <w:pPr>
        <w:ind w:left="840" w:leftChars="0" w:firstLine="2"/>
        <w:jc w:val="left"/>
        <w:rPr>
          <w:rFonts w:ascii="宋体" w:hAnsi="宋体"/>
          <w:kern w:val="0"/>
          <w:szCs w:val="21"/>
        </w:rPr>
      </w:pPr>
      <w:r>
        <w:drawing>
          <wp:inline distT="0" distB="0" distL="0" distR="0">
            <wp:extent cx="4908550" cy="5156200"/>
            <wp:effectExtent l="0" t="0" r="635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908550" cy="5156200"/>
                    </a:xfrm>
                    <a:prstGeom prst="rect">
                      <a:avLst/>
                    </a:prstGeom>
                    <a:noFill/>
                    <a:ln>
                      <a:noFill/>
                    </a:ln>
                  </pic:spPr>
                </pic:pic>
              </a:graphicData>
            </a:graphic>
          </wp:inline>
        </w:drawing>
      </w:r>
    </w:p>
    <w:p>
      <w:pPr>
        <w:ind w:left="420" w:firstLine="2"/>
        <w:jc w:val="left"/>
        <w:rPr>
          <w:rFonts w:ascii="宋体" w:hAnsi="宋体"/>
          <w:kern w:val="0"/>
          <w:szCs w:val="21"/>
        </w:rPr>
      </w:pPr>
    </w:p>
    <w:p>
      <w:pPr>
        <w:ind w:left="420" w:leftChars="0" w:firstLine="426"/>
        <w:jc w:val="left"/>
        <w:rPr>
          <w:rFonts w:ascii="宋体" w:hAnsi="宋体"/>
          <w:kern w:val="0"/>
          <w:szCs w:val="21"/>
        </w:rPr>
      </w:pPr>
      <w:r>
        <w:rPr>
          <w:rFonts w:hint="eastAsia" w:ascii="宋体" w:hAnsi="宋体"/>
          <w:kern w:val="0"/>
          <w:szCs w:val="21"/>
        </w:rPr>
        <w:t>mpv市场在</w:t>
      </w:r>
      <w:r>
        <w:rPr>
          <w:rFonts w:ascii="宋体" w:hAnsi="宋体"/>
          <w:kern w:val="0"/>
          <w:szCs w:val="21"/>
        </w:rPr>
        <w:t>2018</w:t>
      </w:r>
      <w:r>
        <w:rPr>
          <w:rFonts w:hint="eastAsia" w:ascii="宋体" w:hAnsi="宋体"/>
          <w:kern w:val="0"/>
          <w:szCs w:val="21"/>
        </w:rPr>
        <w:t>年表现相对较弱，但是像宋MAX、传祺G</w:t>
      </w:r>
      <w:r>
        <w:rPr>
          <w:rFonts w:ascii="宋体" w:hAnsi="宋体"/>
          <w:kern w:val="0"/>
          <w:szCs w:val="21"/>
        </w:rPr>
        <w:t>M8</w:t>
      </w:r>
      <w:r>
        <w:rPr>
          <w:rFonts w:hint="eastAsia" w:ascii="宋体" w:hAnsi="宋体"/>
          <w:kern w:val="0"/>
          <w:szCs w:val="21"/>
        </w:rPr>
        <w:t>等表现很好。由于mpv市场下滑，自主品牌采取了改进车型的措施，使大量的新车表现较好，但与之替代的老车下滑极其严重。</w:t>
      </w:r>
    </w:p>
    <w:p>
      <w:pPr>
        <w:ind w:firstLine="426"/>
        <w:jc w:val="left"/>
        <w:rPr>
          <w:rFonts w:ascii="宋体" w:hAnsi="宋体"/>
          <w:kern w:val="0"/>
          <w:szCs w:val="21"/>
        </w:rPr>
      </w:pPr>
    </w:p>
    <w:p>
      <w:pPr>
        <w:numPr>
          <w:ilvl w:val="0"/>
          <w:numId w:val="8"/>
        </w:numPr>
        <w:ind w:left="982" w:leftChars="0"/>
        <w:outlineLvl w:val="1"/>
        <w:rPr>
          <w:rFonts w:ascii="宋体" w:hAnsi="宋体"/>
          <w:b/>
          <w:bCs/>
          <w:iCs/>
          <w:color w:val="000000"/>
          <w:kern w:val="0"/>
          <w:szCs w:val="21"/>
        </w:rPr>
      </w:pPr>
      <w:r>
        <w:rPr>
          <w:rFonts w:ascii="黑体" w:hAnsi="黑体" w:eastAsia="黑体"/>
          <w:bCs/>
          <w:szCs w:val="21"/>
        </w:rPr>
        <w:t>SUV</w:t>
      </w:r>
      <w:r>
        <w:rPr>
          <w:rFonts w:hint="eastAsia" w:ascii="黑体" w:hAnsi="黑体" w:eastAsia="黑体"/>
          <w:bCs/>
          <w:szCs w:val="21"/>
        </w:rPr>
        <w:t>主力车型零售的表现</w:t>
      </w:r>
    </w:p>
    <w:p>
      <w:pPr>
        <w:ind w:left="840" w:leftChars="0" w:firstLine="2"/>
        <w:jc w:val="left"/>
        <w:rPr>
          <w:rFonts w:ascii="宋体" w:hAnsi="宋体"/>
          <w:kern w:val="0"/>
          <w:szCs w:val="21"/>
        </w:rPr>
      </w:pPr>
      <w:r>
        <w:drawing>
          <wp:inline distT="0" distB="0" distL="0" distR="0">
            <wp:extent cx="4845050" cy="51562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845050" cy="5156200"/>
                    </a:xfrm>
                    <a:prstGeom prst="rect">
                      <a:avLst/>
                    </a:prstGeom>
                    <a:noFill/>
                    <a:ln>
                      <a:noFill/>
                    </a:ln>
                  </pic:spPr>
                </pic:pic>
              </a:graphicData>
            </a:graphic>
          </wp:inline>
        </w:drawing>
      </w:r>
    </w:p>
    <w:p>
      <w:pPr>
        <w:ind w:left="420" w:firstLine="2"/>
        <w:jc w:val="left"/>
        <w:rPr>
          <w:rFonts w:ascii="宋体" w:hAnsi="宋体"/>
          <w:kern w:val="0"/>
          <w:szCs w:val="21"/>
        </w:rPr>
      </w:pPr>
    </w:p>
    <w:p>
      <w:pPr>
        <w:ind w:firstLine="431"/>
        <w:jc w:val="left"/>
        <w:rPr>
          <w:rFonts w:ascii="宋体" w:hAnsi="宋体"/>
          <w:kern w:val="0"/>
          <w:szCs w:val="21"/>
        </w:rPr>
      </w:pPr>
    </w:p>
    <w:p>
      <w:pPr>
        <w:ind w:left="420" w:leftChars="0" w:firstLine="431"/>
        <w:jc w:val="left"/>
        <w:rPr>
          <w:rFonts w:ascii="宋体" w:hAnsi="宋体"/>
          <w:kern w:val="0"/>
          <w:szCs w:val="21"/>
        </w:rPr>
      </w:pPr>
      <w:r>
        <w:rPr>
          <w:rFonts w:hint="eastAsia" w:ascii="宋体" w:hAnsi="宋体"/>
          <w:kern w:val="0"/>
          <w:szCs w:val="21"/>
        </w:rPr>
        <w:t>S</w:t>
      </w:r>
      <w:r>
        <w:rPr>
          <w:rFonts w:ascii="宋体" w:hAnsi="宋体"/>
          <w:kern w:val="0"/>
          <w:szCs w:val="21"/>
        </w:rPr>
        <w:t>UV</w:t>
      </w:r>
      <w:r>
        <w:rPr>
          <w:rFonts w:hint="eastAsia" w:ascii="宋体" w:hAnsi="宋体"/>
          <w:kern w:val="0"/>
          <w:szCs w:val="21"/>
        </w:rPr>
        <w:t>市场在18年表现持续较强，但1</w:t>
      </w:r>
      <w:r>
        <w:rPr>
          <w:rFonts w:ascii="宋体" w:hAnsi="宋体"/>
          <w:kern w:val="0"/>
          <w:szCs w:val="21"/>
        </w:rPr>
        <w:t>9</w:t>
      </w:r>
      <w:r>
        <w:rPr>
          <w:rFonts w:hint="eastAsia" w:ascii="宋体" w:hAnsi="宋体"/>
          <w:kern w:val="0"/>
          <w:szCs w:val="21"/>
        </w:rPr>
        <w:t>年增速放缓压力。其中自主品牌的新车仍然是较强的增长动力。今年的哈弗h6，宝骏510和传祺gs</w:t>
      </w:r>
      <w:r>
        <w:rPr>
          <w:rFonts w:ascii="宋体" w:hAnsi="宋体"/>
          <w:kern w:val="0"/>
          <w:szCs w:val="21"/>
        </w:rPr>
        <w:t>4</w:t>
      </w:r>
      <w:r>
        <w:rPr>
          <w:rFonts w:hint="eastAsia" w:ascii="宋体" w:hAnsi="宋体"/>
          <w:kern w:val="0"/>
          <w:szCs w:val="21"/>
        </w:rPr>
        <w:t>以及吉利博越，仍是suv市场零售的领军。但剧烈减量的自主品牌也是相对较多。而自主品牌增量的主要推动是自主的新品。</w:t>
      </w:r>
    </w:p>
    <w:p>
      <w:pPr>
        <w:ind w:left="420" w:leftChars="0" w:firstLine="431"/>
        <w:jc w:val="left"/>
        <w:rPr>
          <w:rFonts w:ascii="宋体" w:hAnsi="宋体"/>
          <w:kern w:val="0"/>
          <w:szCs w:val="21"/>
        </w:rPr>
      </w:pPr>
      <w:r>
        <w:rPr>
          <w:rFonts w:hint="eastAsia"/>
        </w:rPr>
        <w:drawing>
          <wp:inline distT="0" distB="0" distL="0" distR="0">
            <wp:extent cx="4845050" cy="5156200"/>
            <wp:effectExtent l="0" t="0" r="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845050" cy="5156200"/>
                    </a:xfrm>
                    <a:prstGeom prst="rect">
                      <a:avLst/>
                    </a:prstGeom>
                    <a:noFill/>
                    <a:ln>
                      <a:noFill/>
                    </a:ln>
                  </pic:spPr>
                </pic:pic>
              </a:graphicData>
            </a:graphic>
          </wp:inline>
        </w:drawing>
      </w:r>
    </w:p>
    <w:p>
      <w:pPr>
        <w:ind w:left="420" w:leftChars="0" w:firstLine="431"/>
        <w:jc w:val="left"/>
        <w:rPr>
          <w:rFonts w:ascii="宋体" w:hAnsi="宋体"/>
          <w:kern w:val="0"/>
          <w:szCs w:val="21"/>
        </w:rPr>
      </w:pPr>
      <w:r>
        <w:rPr>
          <w:rFonts w:hint="eastAsia" w:ascii="宋体" w:hAnsi="宋体"/>
          <w:kern w:val="0"/>
          <w:szCs w:val="21"/>
        </w:rPr>
        <w:t>从6月份的增量表现来看，增长最快的都是自主品牌的主力车型，比如宝骏510，长安cs55，远景X3，领克01等表现都很好。</w:t>
      </w:r>
    </w:p>
    <w:p>
      <w:pPr>
        <w:ind w:firstLine="431"/>
        <w:jc w:val="left"/>
        <w:rPr>
          <w:rFonts w:ascii="宋体" w:hAnsi="宋体"/>
          <w:kern w:val="0"/>
          <w:szCs w:val="21"/>
        </w:rPr>
      </w:pPr>
    </w:p>
    <w:p>
      <w:pPr>
        <w:ind w:firstLine="431"/>
        <w:jc w:val="left"/>
        <w:rPr>
          <w:rFonts w:ascii="宋体" w:hAnsi="宋体"/>
          <w:kern w:val="0"/>
          <w:szCs w:val="21"/>
        </w:rPr>
      </w:pPr>
    </w:p>
    <w:p>
      <w:pPr>
        <w:ind w:firstLine="357" w:firstLineChars="170"/>
        <w:rPr>
          <w:rFonts w:ascii="宋体" w:hAnsi="宋体"/>
          <w:color w:val="000000"/>
          <w:szCs w:val="21"/>
        </w:rPr>
      </w:pPr>
    </w:p>
    <w:bookmarkEnd w:id="49"/>
    <w:bookmarkEnd w:id="50"/>
    <w:bookmarkEnd w:id="51"/>
    <w:bookmarkEnd w:id="52"/>
    <w:p>
      <w:pPr>
        <w:pStyle w:val="2"/>
        <w:spacing w:before="0" w:after="0"/>
        <w:ind w:firstLine="420" w:firstLineChars="0"/>
        <w:rPr>
          <w:rFonts w:ascii="黑体" w:eastAsia="黑体"/>
          <w:color w:val="000000"/>
          <w:sz w:val="28"/>
          <w:szCs w:val="28"/>
        </w:rPr>
      </w:pPr>
      <w:r>
        <w:rPr>
          <w:rFonts w:hint="eastAsia" w:ascii="黑体" w:eastAsia="黑体"/>
          <w:color w:val="000000"/>
          <w:sz w:val="28"/>
          <w:szCs w:val="28"/>
        </w:rPr>
        <w:t>六、新能源</w:t>
      </w:r>
      <w:r>
        <w:rPr>
          <w:rFonts w:ascii="黑体" w:eastAsia="黑体"/>
          <w:color w:val="000000"/>
          <w:sz w:val="28"/>
          <w:szCs w:val="28"/>
        </w:rPr>
        <w:t>乘用车市场</w:t>
      </w:r>
      <w:r>
        <w:rPr>
          <w:rFonts w:hint="eastAsia" w:ascii="黑体" w:eastAsia="黑体"/>
          <w:color w:val="000000"/>
          <w:sz w:val="28"/>
          <w:szCs w:val="28"/>
        </w:rPr>
        <w:t>分析</w:t>
      </w:r>
    </w:p>
    <w:p>
      <w:pPr>
        <w:ind w:firstLine="567" w:firstLineChars="270"/>
        <w:rPr>
          <w:rFonts w:ascii="Calibri" w:hAnsi="Calibri"/>
          <w:szCs w:val="21"/>
        </w:rPr>
      </w:pPr>
    </w:p>
    <w:p>
      <w:pPr>
        <w:pStyle w:val="34"/>
        <w:widowControl/>
        <w:numPr>
          <w:ilvl w:val="0"/>
          <w:numId w:val="9"/>
        </w:numPr>
        <w:ind w:left="1324" w:leftChars="0" w:firstLineChars="0"/>
        <w:jc w:val="left"/>
        <w:outlineLvl w:val="1"/>
        <w:rPr>
          <w:rFonts w:ascii="黑体" w:hAnsi="黑体" w:eastAsia="黑体"/>
          <w:b/>
          <w:color w:val="FF0000"/>
          <w:sz w:val="24"/>
        </w:rPr>
      </w:pPr>
      <w:r>
        <w:rPr>
          <w:rFonts w:ascii="黑体" w:hAnsi="黑体" w:eastAsia="黑体"/>
          <w:b/>
          <w:color w:val="FF0000"/>
          <w:sz w:val="24"/>
        </w:rPr>
        <w:t>6月</w:t>
      </w:r>
      <w:r>
        <w:rPr>
          <w:rFonts w:hint="eastAsia" w:ascii="黑体" w:hAnsi="黑体" w:eastAsia="黑体"/>
          <w:b/>
          <w:color w:val="FF0000"/>
          <w:sz w:val="24"/>
        </w:rPr>
        <w:t>新能源车批发环比上升</w:t>
      </w:r>
    </w:p>
    <w:p>
      <w:pPr>
        <w:widowControl/>
        <w:ind w:firstLine="420" w:firstLineChars="0"/>
        <w:jc w:val="left"/>
        <w:rPr>
          <w:rFonts w:ascii="宋体" w:hAnsi="宋体"/>
          <w:kern w:val="0"/>
          <w:szCs w:val="21"/>
        </w:rPr>
      </w:pPr>
      <w:r>
        <w:rPr>
          <w:rFonts w:ascii="宋体" w:hAnsi="宋体"/>
          <w:kern w:val="0"/>
          <w:szCs w:val="21"/>
        </w:rPr>
        <w:drawing>
          <wp:inline distT="0" distB="0" distL="0" distR="0">
            <wp:extent cx="5681980" cy="3560445"/>
            <wp:effectExtent l="0" t="0" r="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681980" cy="3560445"/>
                    </a:xfrm>
                    <a:prstGeom prst="rect">
                      <a:avLst/>
                    </a:prstGeom>
                    <a:noFill/>
                  </pic:spPr>
                </pic:pic>
              </a:graphicData>
            </a:graphic>
          </wp:inline>
        </w:drawing>
      </w:r>
    </w:p>
    <w:p>
      <w:pPr>
        <w:widowControl/>
        <w:ind w:firstLine="699" w:firstLineChars="333"/>
        <w:jc w:val="left"/>
        <w:rPr>
          <w:rFonts w:ascii="宋体" w:hAnsi="宋体"/>
          <w:kern w:val="0"/>
          <w:szCs w:val="21"/>
        </w:rPr>
      </w:pPr>
      <w:r>
        <w:rPr>
          <w:rFonts w:hint="eastAsia" w:ascii="宋体" w:hAnsi="宋体"/>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Pr>
          <w:rFonts w:hint="eastAsia" w:ascii="宋体" w:hAnsi="宋体"/>
          <w:kern w:val="0"/>
          <w:szCs w:val="21"/>
        </w:rPr>
        <w:t>9年一样的抢跑效应。3-</w:t>
      </w:r>
      <w:r>
        <w:rPr>
          <w:rFonts w:ascii="宋体" w:hAnsi="宋体"/>
          <w:kern w:val="0"/>
          <w:szCs w:val="21"/>
        </w:rPr>
        <w:t>6月</w:t>
      </w:r>
      <w:r>
        <w:rPr>
          <w:rFonts w:hint="eastAsia" w:ascii="宋体" w:hAnsi="宋体"/>
          <w:kern w:val="0"/>
          <w:szCs w:val="21"/>
        </w:rPr>
        <w:t>持续走强。</w:t>
      </w:r>
    </w:p>
    <w:p>
      <w:pPr>
        <w:widowControl/>
        <w:ind w:firstLine="699" w:firstLineChars="333"/>
        <w:jc w:val="left"/>
        <w:rPr>
          <w:rFonts w:ascii="宋体" w:hAnsi="宋体"/>
          <w:kern w:val="0"/>
          <w:szCs w:val="21"/>
        </w:rPr>
      </w:pPr>
      <w:r>
        <w:rPr>
          <w:rFonts w:hint="eastAsia" w:ascii="宋体" w:hAnsi="宋体"/>
          <w:kern w:val="0"/>
          <w:szCs w:val="21"/>
        </w:rPr>
        <w:t>。</w:t>
      </w:r>
    </w:p>
    <w:p>
      <w:pPr>
        <w:widowControl/>
        <w:ind w:firstLine="424" w:firstLineChars="202"/>
        <w:jc w:val="left"/>
        <w:rPr>
          <w:rFonts w:ascii="宋体" w:hAnsi="宋体"/>
          <w:kern w:val="0"/>
          <w:szCs w:val="21"/>
        </w:rPr>
      </w:pPr>
    </w:p>
    <w:p>
      <w:pPr>
        <w:pStyle w:val="34"/>
        <w:widowControl/>
        <w:numPr>
          <w:ilvl w:val="0"/>
          <w:numId w:val="9"/>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6月新能源车零售增速低</w:t>
      </w:r>
    </w:p>
    <w:p>
      <w:pPr>
        <w:widowControl/>
        <w:ind w:left="420" w:leftChars="0" w:firstLine="424" w:firstLineChars="202"/>
        <w:jc w:val="left"/>
        <w:rPr>
          <w:rFonts w:ascii="宋体" w:hAnsi="宋体"/>
          <w:kern w:val="0"/>
          <w:szCs w:val="21"/>
        </w:rPr>
      </w:pPr>
      <w:r>
        <w:rPr>
          <w:rFonts w:ascii="宋体" w:hAnsi="宋体"/>
          <w:kern w:val="0"/>
          <w:szCs w:val="21"/>
        </w:rPr>
        <w:drawing>
          <wp:inline distT="0" distB="0" distL="0" distR="0">
            <wp:extent cx="6181725" cy="3797935"/>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81725" cy="3797935"/>
                    </a:xfrm>
                    <a:prstGeom prst="rect">
                      <a:avLst/>
                    </a:prstGeom>
                    <a:noFill/>
                  </pic:spPr>
                </pic:pic>
              </a:graphicData>
            </a:graphic>
          </wp:inline>
        </w:drawing>
      </w:r>
    </w:p>
    <w:p>
      <w:pPr>
        <w:widowControl/>
        <w:ind w:firstLine="424" w:firstLineChars="202"/>
        <w:jc w:val="left"/>
        <w:rPr>
          <w:rFonts w:ascii="宋体" w:hAnsi="宋体"/>
          <w:kern w:val="0"/>
          <w:szCs w:val="21"/>
        </w:rPr>
      </w:pPr>
    </w:p>
    <w:p>
      <w:pPr>
        <w:widowControl/>
        <w:ind w:left="420" w:leftChars="0" w:firstLine="424" w:firstLineChars="202"/>
        <w:jc w:val="left"/>
        <w:rPr>
          <w:rFonts w:ascii="宋体" w:hAnsi="宋体"/>
          <w:kern w:val="0"/>
          <w:szCs w:val="21"/>
        </w:rPr>
      </w:pPr>
      <w:r>
        <w:rPr>
          <w:rFonts w:hint="eastAsia" w:ascii="宋体" w:hAnsi="宋体"/>
          <w:kern w:val="0"/>
          <w:szCs w:val="21"/>
        </w:rPr>
        <w:t>从乘联会的零售数据看，2020年6月份，今年乘车零售达到</w:t>
      </w:r>
      <w:r>
        <w:rPr>
          <w:rFonts w:ascii="宋体" w:hAnsi="宋体"/>
          <w:kern w:val="0"/>
          <w:szCs w:val="21"/>
        </w:rPr>
        <w:t>8.4</w:t>
      </w:r>
      <w:r>
        <w:rPr>
          <w:rFonts w:hint="eastAsia" w:ascii="宋体" w:hAnsi="宋体"/>
          <w:kern w:val="0"/>
          <w:szCs w:val="21"/>
        </w:rPr>
        <w:t>万台，相对于19年6月份的走势大幅下降，但是相对18年6月份的走势表现还是很不错的，尤其是在19年16月份零售达到13万台的基础上，2020年</w:t>
      </w:r>
      <w:r>
        <w:rPr>
          <w:rFonts w:ascii="宋体" w:hAnsi="宋体"/>
          <w:kern w:val="0"/>
          <w:szCs w:val="21"/>
        </w:rPr>
        <w:t>1</w:t>
      </w:r>
      <w:r>
        <w:rPr>
          <w:rFonts w:hint="eastAsia" w:ascii="宋体" w:hAnsi="宋体"/>
          <w:kern w:val="0"/>
          <w:szCs w:val="21"/>
        </w:rPr>
        <w:t>月份总体来看没有实现剧烈的负增长，6月下滑幅度远高于传统车，但主要是需求因素，体现新能源乘用车还是有一定需求的。</w:t>
      </w:r>
    </w:p>
    <w:p>
      <w:pPr>
        <w:widowControl/>
        <w:ind w:firstLine="424" w:firstLineChars="202"/>
        <w:jc w:val="left"/>
        <w:rPr>
          <w:rFonts w:ascii="宋体" w:hAnsi="宋体"/>
          <w:kern w:val="0"/>
          <w:szCs w:val="21"/>
        </w:rPr>
      </w:pPr>
    </w:p>
    <w:p>
      <w:pPr>
        <w:widowControl/>
        <w:ind w:firstLine="424" w:firstLineChars="202"/>
        <w:jc w:val="left"/>
        <w:rPr>
          <w:rFonts w:ascii="宋体" w:hAnsi="宋体"/>
          <w:kern w:val="0"/>
          <w:szCs w:val="21"/>
        </w:rPr>
      </w:pPr>
    </w:p>
    <w:p>
      <w:pPr>
        <w:pStyle w:val="34"/>
        <w:widowControl/>
        <w:numPr>
          <w:ilvl w:val="0"/>
          <w:numId w:val="9"/>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新能源车表现偏弱原因</w:t>
      </w:r>
    </w:p>
    <w:p>
      <w:pPr>
        <w:widowControl/>
        <w:ind w:firstLine="424" w:firstLineChars="202"/>
        <w:jc w:val="left"/>
        <w:rPr>
          <w:rFonts w:ascii="宋体" w:hAnsi="宋体"/>
          <w:kern w:val="0"/>
          <w:szCs w:val="21"/>
        </w:rPr>
      </w:pPr>
    </w:p>
    <w:p>
      <w:pPr>
        <w:widowControl/>
        <w:ind w:left="420" w:leftChars="0" w:firstLine="424" w:firstLineChars="202"/>
        <w:jc w:val="left"/>
        <w:rPr>
          <w:rFonts w:ascii="宋体" w:hAnsi="宋体"/>
          <w:kern w:val="0"/>
          <w:szCs w:val="21"/>
        </w:rPr>
      </w:pPr>
      <w:r>
        <w:rPr>
          <w:rFonts w:hint="eastAsia" w:ascii="宋体" w:hAnsi="宋体"/>
          <w:kern w:val="0"/>
          <w:szCs w:val="21"/>
        </w:rPr>
        <w:t>新能源车下滑原因</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针对新能源汽车补贴连年大幅退坡，新能源汽车价格高于同级传统燃油车，价格竞争力处于弱势。尤其是国际油价大跌的性价比影响。沿海走私油、地炼油等的价格更低，这些都对新能源汽车推广构成不利影响</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新能源汽车当前仍处于明显的政策驱动，距离纯粹的市场驱动仍较远。地补等取消的使用环节补贴没跟上，性价比仍低。</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自主品牌车企效益剧烈下滑，没钱补贴发展新能源。</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受疫情影响，新能源汽车在网约车、租赁等出行领域需求受到压制。</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国际疫情的影响对国内新能源汽车不大，主要是自身市场因素的A</w:t>
      </w:r>
      <w:r>
        <w:rPr>
          <w:rFonts w:ascii="宋体" w:hAnsi="宋体"/>
          <w:kern w:val="0"/>
          <w:szCs w:val="21"/>
        </w:rPr>
        <w:t>OO</w:t>
      </w:r>
      <w:r>
        <w:rPr>
          <w:rFonts w:hint="eastAsia" w:ascii="宋体" w:hAnsi="宋体"/>
          <w:kern w:val="0"/>
          <w:szCs w:val="21"/>
        </w:rPr>
        <w:t>级和A</w:t>
      </w:r>
      <w:r>
        <w:rPr>
          <w:rFonts w:ascii="宋体" w:hAnsi="宋体"/>
          <w:kern w:val="0"/>
          <w:szCs w:val="21"/>
        </w:rPr>
        <w:t>0</w:t>
      </w:r>
      <w:r>
        <w:rPr>
          <w:rFonts w:hint="eastAsia" w:ascii="宋体" w:hAnsi="宋体"/>
          <w:kern w:val="0"/>
          <w:szCs w:val="21"/>
        </w:rPr>
        <w:t>级剧烈萎缩。</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疫情期间，各地取消了限行措施，使得新能源汽车暂时丧失了路权优势，限购城市释放了部分针对传统燃油车的新增指标。</w:t>
      </w:r>
    </w:p>
    <w:p>
      <w:pPr>
        <w:pStyle w:val="34"/>
        <w:widowControl/>
        <w:numPr>
          <w:ilvl w:val="0"/>
          <w:numId w:val="10"/>
        </w:numPr>
        <w:ind w:left="840" w:leftChars="0" w:firstLineChars="0"/>
        <w:jc w:val="left"/>
        <w:rPr>
          <w:rFonts w:ascii="宋体" w:hAnsi="宋体"/>
          <w:kern w:val="0"/>
          <w:szCs w:val="21"/>
        </w:rPr>
      </w:pPr>
      <w:r>
        <w:rPr>
          <w:rFonts w:hint="eastAsia" w:ascii="宋体" w:hAnsi="宋体"/>
          <w:kern w:val="0"/>
          <w:szCs w:val="21"/>
        </w:rPr>
        <w:t>目前续航里程不足问题逐步解决，但安全性能低等行业痛点未得到有效解决。基础设施不完善等也是困扰。</w:t>
      </w:r>
    </w:p>
    <w:p>
      <w:pPr>
        <w:widowControl/>
        <w:ind w:firstLine="424" w:firstLineChars="202"/>
        <w:jc w:val="left"/>
        <w:rPr>
          <w:rFonts w:ascii="宋体" w:hAnsi="宋体"/>
          <w:kern w:val="0"/>
          <w:szCs w:val="21"/>
        </w:rPr>
      </w:pPr>
    </w:p>
    <w:p>
      <w:pPr>
        <w:widowControl/>
        <w:ind w:firstLine="424" w:firstLineChars="202"/>
        <w:jc w:val="left"/>
        <w:rPr>
          <w:rFonts w:ascii="宋体" w:hAnsi="宋体"/>
          <w:kern w:val="0"/>
          <w:szCs w:val="21"/>
        </w:rPr>
      </w:pPr>
    </w:p>
    <w:p>
      <w:pPr>
        <w:pStyle w:val="2"/>
        <w:spacing w:before="0" w:after="0"/>
        <w:ind w:firstLine="420" w:firstLineChars="0"/>
        <w:rPr>
          <w:rFonts w:ascii="宋体" w:hAnsi="宋体"/>
          <w:b w:val="0"/>
          <w:color w:val="FF0000"/>
          <w:kern w:val="0"/>
          <w:sz w:val="28"/>
          <w:szCs w:val="21"/>
        </w:rPr>
      </w:pPr>
      <w:r>
        <w:rPr>
          <w:rFonts w:hint="eastAsia" w:ascii="宋体" w:hAnsi="宋体"/>
          <w:color w:val="FF0000"/>
          <w:kern w:val="0"/>
          <w:sz w:val="28"/>
          <w:szCs w:val="21"/>
        </w:rPr>
        <w:t>七、新能源乘用车市场结构分析</w:t>
      </w:r>
    </w:p>
    <w:p>
      <w:pPr>
        <w:pStyle w:val="34"/>
        <w:widowControl/>
        <w:numPr>
          <w:ilvl w:val="0"/>
          <w:numId w:val="11"/>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新能源车的新势力持续走好</w:t>
      </w:r>
    </w:p>
    <w:p>
      <w:pPr>
        <w:widowControl/>
        <w:ind w:left="420" w:leftChars="0" w:firstLine="422" w:firstLineChars="201"/>
        <w:jc w:val="left"/>
        <w:rPr>
          <w:rFonts w:ascii="宋体" w:hAnsi="宋体"/>
          <w:kern w:val="0"/>
          <w:szCs w:val="21"/>
        </w:rPr>
      </w:pPr>
      <w:r>
        <w:drawing>
          <wp:inline distT="0" distB="0" distL="0" distR="0">
            <wp:extent cx="4254500" cy="2139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54500" cy="2139950"/>
                    </a:xfrm>
                    <a:prstGeom prst="rect">
                      <a:avLst/>
                    </a:prstGeom>
                    <a:noFill/>
                    <a:ln>
                      <a:noFill/>
                    </a:ln>
                  </pic:spPr>
                </pic:pic>
              </a:graphicData>
            </a:graphic>
          </wp:inline>
        </w:drawing>
      </w:r>
    </w:p>
    <w:p>
      <w:pPr>
        <w:widowControl/>
        <w:ind w:left="420" w:leftChars="0" w:firstLine="422" w:firstLineChars="201"/>
        <w:jc w:val="left"/>
        <w:rPr>
          <w:rFonts w:ascii="宋体" w:hAnsi="宋体"/>
          <w:kern w:val="0"/>
          <w:szCs w:val="21"/>
        </w:rPr>
      </w:pPr>
      <w:r>
        <w:rPr>
          <w:rFonts w:hint="eastAsia" w:ascii="宋体" w:hAnsi="宋体"/>
          <w:kern w:val="0"/>
          <w:szCs w:val="21"/>
        </w:rPr>
        <w:t>中国新能源车的参与势力相对很丰富，豪华车主流，合资品牌与自主品牌是豪华车的传统竞争者，随着新势力的加入，新势力造成企业也在流表现突出，尤其是外资品牌表现相对较强。</w:t>
      </w:r>
    </w:p>
    <w:p>
      <w:pPr>
        <w:widowControl/>
        <w:ind w:left="420" w:leftChars="0" w:firstLine="422" w:firstLineChars="201"/>
        <w:jc w:val="left"/>
        <w:rPr>
          <w:rFonts w:ascii="宋体" w:hAnsi="宋体"/>
          <w:kern w:val="0"/>
          <w:szCs w:val="21"/>
        </w:rPr>
      </w:pPr>
      <w:r>
        <w:rPr>
          <w:rFonts w:hint="eastAsia" w:ascii="宋体" w:hAnsi="宋体"/>
          <w:kern w:val="0"/>
          <w:szCs w:val="21"/>
        </w:rPr>
        <w:t>随着世界新能源车的浪潮，国际新能源车企对中国新能源汽车市场也日益重视。因此近两年中国新能源乘用车发展形势越来越好，各方发展新能源的热情很高。</w:t>
      </w:r>
    </w:p>
    <w:p>
      <w:pPr>
        <w:widowControl/>
        <w:ind w:firstLine="422" w:firstLineChars="201"/>
        <w:jc w:val="left"/>
        <w:rPr>
          <w:rFonts w:ascii="宋体" w:hAnsi="宋体"/>
          <w:kern w:val="0"/>
          <w:szCs w:val="21"/>
        </w:rPr>
      </w:pPr>
    </w:p>
    <w:p>
      <w:pPr>
        <w:pStyle w:val="34"/>
        <w:widowControl/>
        <w:numPr>
          <w:ilvl w:val="0"/>
          <w:numId w:val="11"/>
        </w:numPr>
        <w:ind w:left="1324" w:leftChars="0" w:firstLineChars="0"/>
        <w:jc w:val="left"/>
        <w:outlineLvl w:val="1"/>
        <w:rPr>
          <w:rFonts w:ascii="黑体" w:hAnsi="黑体" w:eastAsia="黑体"/>
          <w:b/>
          <w:color w:val="FF0000"/>
          <w:sz w:val="24"/>
        </w:rPr>
      </w:pPr>
      <w:r>
        <w:rPr>
          <w:rFonts w:ascii="黑体" w:hAnsi="黑体" w:eastAsia="黑体"/>
          <w:b/>
          <w:color w:val="FF0000"/>
          <w:sz w:val="24"/>
        </w:rPr>
        <w:t>20</w:t>
      </w:r>
      <w:r>
        <w:rPr>
          <w:rFonts w:hint="eastAsia" w:ascii="黑体" w:hAnsi="黑体" w:eastAsia="黑体"/>
          <w:b/>
          <w:color w:val="FF0000"/>
          <w:sz w:val="24"/>
        </w:rPr>
        <w:t>年6月的新能源车的纯电动占</w:t>
      </w:r>
      <w:r>
        <w:rPr>
          <w:rFonts w:ascii="黑体" w:hAnsi="黑体" w:eastAsia="黑体"/>
          <w:b/>
          <w:color w:val="FF0000"/>
          <w:sz w:val="24"/>
        </w:rPr>
        <w:t>80</w:t>
      </w:r>
      <w:r>
        <w:rPr>
          <w:rFonts w:hint="eastAsia" w:ascii="黑体" w:hAnsi="黑体" w:eastAsia="黑体"/>
          <w:b/>
          <w:color w:val="FF0000"/>
          <w:sz w:val="24"/>
        </w:rPr>
        <w:t>%</w:t>
      </w:r>
    </w:p>
    <w:p>
      <w:pPr>
        <w:widowControl/>
        <w:ind w:firstLine="420" w:firstLineChars="0"/>
        <w:jc w:val="left"/>
        <w:rPr>
          <w:rFonts w:ascii="宋体" w:hAnsi="宋体"/>
          <w:kern w:val="0"/>
          <w:szCs w:val="21"/>
        </w:rPr>
      </w:pPr>
      <w:r>
        <w:drawing>
          <wp:inline distT="0" distB="0" distL="0" distR="0">
            <wp:extent cx="5143500" cy="41783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143500" cy="4178300"/>
                    </a:xfrm>
                    <a:prstGeom prst="rect">
                      <a:avLst/>
                    </a:prstGeom>
                    <a:noFill/>
                    <a:ln>
                      <a:noFill/>
                    </a:ln>
                  </pic:spPr>
                </pic:pic>
              </a:graphicData>
            </a:graphic>
          </wp:inline>
        </w:drawing>
      </w:r>
    </w:p>
    <w:p>
      <w:pPr>
        <w:widowControl/>
        <w:ind w:firstLine="699" w:firstLineChars="333"/>
        <w:jc w:val="left"/>
        <w:rPr>
          <w:rFonts w:ascii="宋体" w:hAnsi="宋体"/>
          <w:kern w:val="0"/>
          <w:szCs w:val="21"/>
        </w:rPr>
      </w:pPr>
      <w:r>
        <w:rPr>
          <w:rFonts w:hint="eastAsia" w:ascii="宋体" w:hAnsi="宋体"/>
          <w:kern w:val="0"/>
          <w:szCs w:val="21"/>
        </w:rPr>
        <w:t>20</w:t>
      </w:r>
      <w:r>
        <w:rPr>
          <w:rFonts w:ascii="宋体" w:hAnsi="宋体"/>
          <w:kern w:val="0"/>
          <w:szCs w:val="21"/>
        </w:rPr>
        <w:t>20</w:t>
      </w:r>
      <w:r>
        <w:rPr>
          <w:rFonts w:hint="eastAsia" w:ascii="宋体" w:hAnsi="宋体"/>
          <w:kern w:val="0"/>
          <w:szCs w:val="21"/>
        </w:rPr>
        <w:t>年新能源车市场呈现电动化越走越强的趋势，插混动车型份额持续下降，目前基本是插电混动跟纯电动是2：8比例的特征。，</w:t>
      </w:r>
    </w:p>
    <w:p>
      <w:pPr>
        <w:widowControl/>
        <w:ind w:firstLine="699" w:firstLineChars="333"/>
        <w:jc w:val="left"/>
        <w:rPr>
          <w:rFonts w:ascii="宋体" w:hAnsi="宋体"/>
          <w:kern w:val="0"/>
          <w:szCs w:val="21"/>
        </w:rPr>
      </w:pPr>
      <w:r>
        <w:rPr>
          <w:rFonts w:hint="eastAsia" w:ascii="宋体" w:hAnsi="宋体"/>
          <w:kern w:val="0"/>
          <w:szCs w:val="21"/>
        </w:rPr>
        <w:t>从产品结构上看，SUV市场的占比在下降，轿车市场的占比在回升，这也体现了整个新能源车产品活力不足的特征。</w:t>
      </w:r>
    </w:p>
    <w:p>
      <w:pPr>
        <w:pStyle w:val="34"/>
        <w:widowControl/>
        <w:numPr>
          <w:ilvl w:val="0"/>
          <w:numId w:val="11"/>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新能源车的级别-</w:t>
      </w:r>
      <w:r>
        <w:rPr>
          <w:rFonts w:ascii="黑体" w:hAnsi="黑体" w:eastAsia="黑体"/>
          <w:b/>
          <w:color w:val="FF0000"/>
          <w:sz w:val="24"/>
        </w:rPr>
        <w:t>A00</w:t>
      </w:r>
      <w:r>
        <w:rPr>
          <w:rFonts w:hint="eastAsia" w:ascii="黑体" w:hAnsi="黑体" w:eastAsia="黑体"/>
          <w:b/>
          <w:color w:val="FF0000"/>
          <w:sz w:val="24"/>
        </w:rPr>
        <w:t>级压力较大</w:t>
      </w:r>
    </w:p>
    <w:p>
      <w:pPr>
        <w:ind w:firstLine="420" w:firstLineChars="0"/>
      </w:pPr>
      <w:r>
        <w:drawing>
          <wp:inline distT="0" distB="0" distL="0" distR="0">
            <wp:extent cx="5143500" cy="5257800"/>
            <wp:effectExtent l="0" t="0" r="0" b="0"/>
            <wp:docPr id="1860" name="图片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 name="图片 18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143500" cy="5257800"/>
                    </a:xfrm>
                    <a:prstGeom prst="rect">
                      <a:avLst/>
                    </a:prstGeom>
                    <a:noFill/>
                    <a:ln>
                      <a:noFill/>
                    </a:ln>
                  </pic:spPr>
                </pic:pic>
              </a:graphicData>
            </a:graphic>
          </wp:inline>
        </w:drawing>
      </w:r>
    </w:p>
    <w:p>
      <w:pPr>
        <w:widowControl/>
        <w:ind w:firstLine="422" w:firstLineChars="201"/>
        <w:jc w:val="left"/>
        <w:rPr>
          <w:rFonts w:ascii="宋体" w:hAnsi="宋体"/>
          <w:kern w:val="0"/>
          <w:szCs w:val="21"/>
        </w:rPr>
      </w:pPr>
    </w:p>
    <w:p>
      <w:pPr>
        <w:widowControl/>
        <w:ind w:left="420" w:leftChars="0" w:firstLine="422" w:firstLineChars="201"/>
        <w:jc w:val="left"/>
        <w:rPr>
          <w:rFonts w:ascii="宋体" w:hAnsi="宋体"/>
          <w:kern w:val="0"/>
          <w:szCs w:val="21"/>
        </w:rPr>
      </w:pPr>
      <w:r>
        <w:rPr>
          <w:rFonts w:hint="eastAsia" w:ascii="宋体" w:hAnsi="宋体"/>
          <w:kern w:val="0"/>
          <w:szCs w:val="21"/>
        </w:rPr>
        <w:t>纯电动乘用车的增长主要是</w:t>
      </w:r>
      <w:r>
        <w:rPr>
          <w:rFonts w:ascii="宋体" w:hAnsi="宋体"/>
          <w:kern w:val="0"/>
          <w:szCs w:val="21"/>
        </w:rPr>
        <w:t>A</w:t>
      </w:r>
      <w:r>
        <w:rPr>
          <w:rFonts w:hint="eastAsia" w:ascii="宋体" w:hAnsi="宋体"/>
          <w:kern w:val="0"/>
          <w:szCs w:val="21"/>
        </w:rPr>
        <w:t>00级车的拉动，因此，从16年的44%上升到17年的69%，下降到18年的49%</w:t>
      </w:r>
      <w:r>
        <w:rPr>
          <w:rFonts w:ascii="宋体" w:hAnsi="宋体"/>
          <w:kern w:val="0"/>
          <w:szCs w:val="21"/>
        </w:rPr>
        <w:t>,,19</w:t>
      </w:r>
      <w:r>
        <w:rPr>
          <w:rFonts w:hint="eastAsia" w:ascii="宋体" w:hAnsi="宋体"/>
          <w:kern w:val="0"/>
          <w:szCs w:val="21"/>
        </w:rPr>
        <w:t>年全年是27%，2020年6月份的纯电动a00乘用车份额仅有</w:t>
      </w:r>
      <w:r>
        <w:rPr>
          <w:rFonts w:ascii="宋体" w:hAnsi="宋体"/>
          <w:kern w:val="0"/>
          <w:szCs w:val="21"/>
        </w:rPr>
        <w:t>13</w:t>
      </w:r>
      <w:r>
        <w:rPr>
          <w:rFonts w:hint="eastAsia" w:ascii="宋体" w:hAnsi="宋体"/>
          <w:kern w:val="0"/>
          <w:szCs w:val="21"/>
        </w:rPr>
        <w:t>%，是历史最低水平，</w:t>
      </w:r>
    </w:p>
    <w:p>
      <w:pPr>
        <w:widowControl/>
        <w:ind w:left="420" w:leftChars="0" w:firstLine="422" w:firstLineChars="201"/>
        <w:jc w:val="left"/>
        <w:rPr>
          <w:rFonts w:ascii="宋体" w:hAnsi="宋体"/>
          <w:kern w:val="0"/>
          <w:szCs w:val="21"/>
        </w:rPr>
      </w:pPr>
      <w:r>
        <w:rPr>
          <w:rFonts w:hint="eastAsia" w:ascii="宋体" w:hAnsi="宋体"/>
          <w:kern w:val="0"/>
          <w:szCs w:val="21"/>
        </w:rPr>
        <w:t>而插电混合动力的</w:t>
      </w:r>
      <w:r>
        <w:rPr>
          <w:rFonts w:ascii="宋体" w:hAnsi="宋体"/>
          <w:kern w:val="0"/>
          <w:szCs w:val="21"/>
        </w:rPr>
        <w:t>A</w:t>
      </w:r>
      <w:r>
        <w:rPr>
          <w:rFonts w:hint="eastAsia" w:ascii="宋体" w:hAnsi="宋体"/>
          <w:kern w:val="0"/>
          <w:szCs w:val="21"/>
        </w:rPr>
        <w:t>级的插电混合动力车，份额也在持续下降.b级和c级他的混合动力份额在逐步增长之中，尤其2</w:t>
      </w:r>
      <w:r>
        <w:rPr>
          <w:rFonts w:ascii="宋体" w:hAnsi="宋体"/>
          <w:kern w:val="0"/>
          <w:szCs w:val="21"/>
        </w:rPr>
        <w:t>0</w:t>
      </w:r>
      <w:r>
        <w:rPr>
          <w:rFonts w:hint="eastAsia" w:ascii="宋体" w:hAnsi="宋体"/>
          <w:kern w:val="0"/>
          <w:szCs w:val="21"/>
        </w:rPr>
        <w:t>年理想增程式的销量较好。</w:t>
      </w:r>
    </w:p>
    <w:p>
      <w:pPr>
        <w:widowControl/>
        <w:ind w:left="420" w:leftChars="0" w:firstLine="422" w:firstLineChars="201"/>
        <w:jc w:val="left"/>
        <w:rPr>
          <w:rFonts w:ascii="宋体" w:hAnsi="宋体"/>
          <w:kern w:val="0"/>
          <w:szCs w:val="21"/>
        </w:rPr>
      </w:pPr>
      <w:r>
        <w:rPr>
          <w:rFonts w:hint="eastAsia" w:ascii="宋体" w:hAnsi="宋体"/>
          <w:kern w:val="0"/>
          <w:szCs w:val="21"/>
        </w:rPr>
        <w:t>今年的</w:t>
      </w:r>
      <w:r>
        <w:rPr>
          <w:rFonts w:ascii="宋体" w:hAnsi="宋体"/>
          <w:kern w:val="0"/>
          <w:szCs w:val="21"/>
        </w:rPr>
        <w:t>6月</w:t>
      </w:r>
      <w:r>
        <w:rPr>
          <w:rFonts w:hint="eastAsia" w:ascii="宋体" w:hAnsi="宋体"/>
          <w:kern w:val="0"/>
          <w:szCs w:val="21"/>
        </w:rPr>
        <w:t>的A</w:t>
      </w:r>
      <w:r>
        <w:rPr>
          <w:rFonts w:ascii="宋体" w:hAnsi="宋体"/>
          <w:kern w:val="0"/>
          <w:szCs w:val="21"/>
        </w:rPr>
        <w:t>0</w:t>
      </w:r>
      <w:r>
        <w:rPr>
          <w:rFonts w:hint="eastAsia" w:ascii="宋体" w:hAnsi="宋体"/>
          <w:kern w:val="0"/>
          <w:szCs w:val="21"/>
        </w:rPr>
        <w:t>级电动车同比降</w:t>
      </w:r>
      <w:r>
        <w:rPr>
          <w:rFonts w:ascii="宋体" w:hAnsi="宋体"/>
          <w:kern w:val="0"/>
          <w:szCs w:val="21"/>
        </w:rPr>
        <w:t>74</w:t>
      </w:r>
      <w:r>
        <w:rPr>
          <w:rFonts w:hint="eastAsia" w:ascii="宋体" w:hAnsi="宋体"/>
          <w:kern w:val="0"/>
          <w:szCs w:val="21"/>
        </w:rPr>
        <w:t>%，体现政策退出的私人购买压力较大，年轻人对电动车的兴趣不是很大。</w:t>
      </w:r>
    </w:p>
    <w:p>
      <w:pPr>
        <w:widowControl/>
        <w:ind w:left="420" w:leftChars="0" w:firstLine="422" w:firstLineChars="201"/>
        <w:jc w:val="left"/>
        <w:rPr>
          <w:rFonts w:ascii="宋体" w:hAnsi="宋体"/>
          <w:kern w:val="0"/>
          <w:szCs w:val="21"/>
        </w:rPr>
      </w:pPr>
      <w:r>
        <w:rPr>
          <w:rFonts w:hint="eastAsia" w:ascii="宋体" w:hAnsi="宋体"/>
          <w:kern w:val="0"/>
          <w:szCs w:val="21"/>
        </w:rPr>
        <w:t>而</w:t>
      </w:r>
      <w:r>
        <w:rPr>
          <w:rFonts w:ascii="宋体" w:hAnsi="宋体"/>
          <w:kern w:val="0"/>
          <w:szCs w:val="21"/>
        </w:rPr>
        <w:t>B</w:t>
      </w:r>
      <w:r>
        <w:rPr>
          <w:rFonts w:hint="eastAsia" w:ascii="宋体" w:hAnsi="宋体"/>
          <w:kern w:val="0"/>
          <w:szCs w:val="21"/>
        </w:rPr>
        <w:t>级电动车虽然数量较小，因新品贡献，同样出现同比暴增，环比表现稍弱。</w:t>
      </w:r>
    </w:p>
    <w:p>
      <w:pPr>
        <w:ind w:firstLine="424" w:firstLineChars="202"/>
        <w:rPr>
          <w:rFonts w:ascii="宋体" w:hAnsi="宋体"/>
          <w:color w:val="000000"/>
          <w:kern w:val="0"/>
          <w:szCs w:val="21"/>
        </w:rPr>
      </w:pPr>
    </w:p>
    <w:p>
      <w:pPr>
        <w:widowControl/>
        <w:ind w:firstLine="422" w:firstLineChars="201"/>
        <w:jc w:val="left"/>
      </w:pPr>
    </w:p>
    <w:p>
      <w:pPr>
        <w:pStyle w:val="34"/>
        <w:widowControl/>
        <w:ind w:left="142" w:firstLine="419" w:firstLineChars="0"/>
        <w:jc w:val="left"/>
        <w:outlineLvl w:val="0"/>
        <w:rPr>
          <w:rFonts w:ascii="宋体" w:hAnsi="宋体"/>
          <w:b/>
          <w:color w:val="FF0000"/>
          <w:kern w:val="0"/>
          <w:sz w:val="28"/>
          <w:szCs w:val="21"/>
        </w:rPr>
      </w:pPr>
      <w:r>
        <w:rPr>
          <w:rFonts w:hint="eastAsia" w:ascii="宋体" w:hAnsi="宋体"/>
          <w:b/>
          <w:color w:val="FF0000"/>
          <w:kern w:val="0"/>
          <w:sz w:val="28"/>
          <w:szCs w:val="21"/>
        </w:rPr>
        <w:t>八、</w:t>
      </w:r>
      <w:r>
        <w:rPr>
          <w:rFonts w:ascii="宋体" w:hAnsi="宋体"/>
          <w:b/>
          <w:color w:val="FF0000"/>
          <w:kern w:val="0"/>
          <w:sz w:val="28"/>
          <w:szCs w:val="21"/>
        </w:rPr>
        <w:t>6月</w:t>
      </w:r>
      <w:r>
        <w:rPr>
          <w:rFonts w:hint="eastAsia" w:ascii="宋体" w:hAnsi="宋体"/>
          <w:b/>
          <w:color w:val="FF0000"/>
          <w:kern w:val="0"/>
          <w:sz w:val="28"/>
          <w:szCs w:val="21"/>
        </w:rPr>
        <w:t>新能源车主力厂家分化</w:t>
      </w:r>
    </w:p>
    <w:p>
      <w:pPr>
        <w:pStyle w:val="34"/>
        <w:widowControl/>
        <w:numPr>
          <w:ilvl w:val="0"/>
          <w:numId w:val="12"/>
        </w:numPr>
        <w:ind w:left="1324" w:leftChars="0" w:firstLineChars="0"/>
        <w:jc w:val="left"/>
        <w:outlineLvl w:val="1"/>
        <w:rPr>
          <w:rFonts w:ascii="黑体" w:hAnsi="黑体" w:eastAsia="黑体"/>
          <w:b/>
          <w:color w:val="FF0000"/>
          <w:sz w:val="24"/>
        </w:rPr>
      </w:pPr>
      <w:bookmarkStart w:id="55" w:name="_Hlk35859057"/>
      <w:r>
        <w:rPr>
          <w:rFonts w:hint="eastAsia" w:ascii="黑体" w:hAnsi="黑体" w:eastAsia="黑体"/>
          <w:b/>
          <w:color w:val="FF0000"/>
          <w:sz w:val="24"/>
        </w:rPr>
        <w:t>历年逐月新能源车主力厂家销量走势</w:t>
      </w:r>
    </w:p>
    <w:p>
      <w:pPr>
        <w:widowControl/>
        <w:ind w:left="484" w:firstLine="419" w:firstLineChars="0"/>
        <w:jc w:val="left"/>
      </w:pPr>
      <w:r>
        <w:drawing>
          <wp:inline distT="0" distB="0" distL="0" distR="0">
            <wp:extent cx="5141595" cy="3149600"/>
            <wp:effectExtent l="0" t="0" r="190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145756" cy="3152129"/>
                    </a:xfrm>
                    <a:prstGeom prst="rect">
                      <a:avLst/>
                    </a:prstGeom>
                    <a:noFill/>
                  </pic:spPr>
                </pic:pic>
              </a:graphicData>
            </a:graphic>
          </wp:inline>
        </w:drawing>
      </w:r>
    </w:p>
    <w:p>
      <w:pPr>
        <w:widowControl/>
        <w:ind w:left="484" w:firstLine="224" w:firstLineChars="107"/>
        <w:jc w:val="left"/>
      </w:pPr>
    </w:p>
    <w:p>
      <w:pPr>
        <w:widowControl/>
        <w:ind w:left="484" w:firstLine="640" w:firstLineChars="305"/>
        <w:jc w:val="left"/>
      </w:pPr>
      <w:r>
        <w:rPr>
          <w:rFonts w:hint="eastAsia"/>
        </w:rPr>
        <w:t>由于今年6月属于新能源补贴的过渡期后的新一年的起步期，市场处于新能源补贴冲刺后修整阶段，补贴影响较大。</w:t>
      </w:r>
    </w:p>
    <w:p>
      <w:pPr>
        <w:widowControl/>
        <w:ind w:left="484" w:firstLine="640" w:firstLineChars="305"/>
        <w:jc w:val="left"/>
      </w:pPr>
      <w:r>
        <w:rPr>
          <w:rFonts w:hint="eastAsia"/>
        </w:rPr>
        <w:t>目前新能源车需求相对疲软，前期库存消化相对较慢，社会原有的分时租赁的替换车型被社会冲击仍然很大，因此需求疲软，各厂家走势分化加大。</w:t>
      </w:r>
    </w:p>
    <w:p>
      <w:pPr>
        <w:widowControl/>
        <w:ind w:left="484" w:firstLine="224" w:firstLineChars="107"/>
        <w:jc w:val="left"/>
        <w:rPr>
          <w:rFonts w:ascii="宋体" w:hAnsi="宋体"/>
          <w:kern w:val="0"/>
          <w:szCs w:val="21"/>
        </w:rPr>
      </w:pPr>
    </w:p>
    <w:p>
      <w:pPr>
        <w:pStyle w:val="34"/>
        <w:widowControl/>
        <w:numPr>
          <w:ilvl w:val="0"/>
          <w:numId w:val="12"/>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历年纯电动主力厂家销量走势</w:t>
      </w:r>
    </w:p>
    <w:p>
      <w:pPr>
        <w:widowControl/>
        <w:ind w:left="420" w:leftChars="0" w:firstLine="422" w:firstLineChars="201"/>
        <w:jc w:val="left"/>
        <w:rPr>
          <w:rFonts w:ascii="宋体" w:hAnsi="宋体"/>
          <w:kern w:val="0"/>
          <w:szCs w:val="21"/>
        </w:rPr>
      </w:pPr>
      <w:r>
        <w:drawing>
          <wp:inline distT="0" distB="0" distL="0" distR="0">
            <wp:extent cx="5272405" cy="3811270"/>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279821" cy="3816860"/>
                    </a:xfrm>
                    <a:prstGeom prst="rect">
                      <a:avLst/>
                    </a:prstGeom>
                    <a:noFill/>
                  </pic:spPr>
                </pic:pic>
              </a:graphicData>
            </a:graphic>
          </wp:inline>
        </w:drawing>
      </w:r>
    </w:p>
    <w:p>
      <w:pPr>
        <w:widowControl/>
        <w:ind w:firstLine="422" w:firstLineChars="201"/>
        <w:jc w:val="left"/>
        <w:rPr>
          <w:rFonts w:ascii="宋体" w:hAnsi="宋体"/>
          <w:kern w:val="0"/>
          <w:szCs w:val="21"/>
        </w:rPr>
      </w:pPr>
    </w:p>
    <w:p>
      <w:pPr>
        <w:widowControl/>
        <w:ind w:left="420" w:leftChars="0" w:firstLine="422" w:firstLineChars="201"/>
        <w:jc w:val="left"/>
        <w:rPr>
          <w:rFonts w:ascii="宋体" w:hAnsi="宋体"/>
          <w:kern w:val="0"/>
          <w:szCs w:val="21"/>
        </w:rPr>
      </w:pPr>
      <w:r>
        <w:rPr>
          <w:rFonts w:hint="eastAsia" w:ascii="宋体" w:hAnsi="宋体"/>
          <w:kern w:val="0"/>
          <w:szCs w:val="21"/>
        </w:rPr>
        <w:t>至今以来纯电动乘用车市场仍然是自主品牌为主的格局，虽然特斯拉进入，但自主车企占据纯电动车的绝对优势地位。合资车企的没有进入前</w:t>
      </w:r>
      <w:r>
        <w:rPr>
          <w:rFonts w:ascii="宋体" w:hAnsi="宋体"/>
          <w:kern w:val="0"/>
          <w:szCs w:val="21"/>
        </w:rPr>
        <w:t>5</w:t>
      </w:r>
      <w:r>
        <w:rPr>
          <w:rFonts w:hint="eastAsia" w:ascii="宋体" w:hAnsi="宋体"/>
          <w:kern w:val="0"/>
          <w:szCs w:val="21"/>
        </w:rPr>
        <w:t>名。</w:t>
      </w:r>
    </w:p>
    <w:p>
      <w:pPr>
        <w:widowControl/>
        <w:ind w:left="420" w:leftChars="0" w:firstLine="422" w:firstLineChars="201"/>
        <w:jc w:val="left"/>
        <w:rPr>
          <w:rFonts w:ascii="宋体" w:hAnsi="宋体"/>
          <w:kern w:val="0"/>
          <w:szCs w:val="21"/>
        </w:rPr>
      </w:pPr>
      <w:r>
        <w:rPr>
          <w:rFonts w:hint="eastAsia" w:ascii="宋体" w:hAnsi="宋体"/>
          <w:kern w:val="0"/>
          <w:szCs w:val="21"/>
        </w:rPr>
        <w:t>6月份纯电动乘车市场的特斯拉、比亚迪，上汽五菱表现相对优秀，但这个月的奇瑞和蔚来汽车表现相对较强，北汽新能源处于相对调整期。</w:t>
      </w:r>
    </w:p>
    <w:p>
      <w:pPr>
        <w:widowControl/>
        <w:ind w:left="420" w:leftChars="0" w:firstLine="422" w:firstLineChars="201"/>
        <w:jc w:val="left"/>
        <w:rPr>
          <w:rFonts w:ascii="宋体" w:hAnsi="宋体"/>
          <w:kern w:val="0"/>
          <w:szCs w:val="21"/>
        </w:rPr>
      </w:pPr>
      <w:r>
        <w:rPr>
          <w:rFonts w:hint="eastAsia" w:ascii="宋体" w:hAnsi="宋体"/>
          <w:kern w:val="0"/>
          <w:szCs w:val="21"/>
        </w:rPr>
        <w:t>19年的比亚迪表现相对较强，但今年微型电动车走势逐步恢复，下沉的市场仍有潜力。</w:t>
      </w:r>
    </w:p>
    <w:p>
      <w:pPr>
        <w:widowControl/>
        <w:ind w:firstLine="422" w:firstLineChars="201"/>
        <w:jc w:val="left"/>
        <w:rPr>
          <w:rFonts w:ascii="宋体" w:hAnsi="宋体"/>
          <w:kern w:val="0"/>
          <w:szCs w:val="21"/>
        </w:rPr>
      </w:pPr>
    </w:p>
    <w:p>
      <w:pPr>
        <w:pStyle w:val="34"/>
        <w:widowControl/>
        <w:numPr>
          <w:ilvl w:val="0"/>
          <w:numId w:val="12"/>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插电混新能源车企业表现一般</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5302250" cy="357632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308520" cy="3580982"/>
                    </a:xfrm>
                    <a:prstGeom prst="rect">
                      <a:avLst/>
                    </a:prstGeom>
                    <a:noFill/>
                  </pic:spPr>
                </pic:pic>
              </a:graphicData>
            </a:graphic>
          </wp:inline>
        </w:drawing>
      </w:r>
    </w:p>
    <w:p>
      <w:pPr>
        <w:widowControl/>
        <w:ind w:left="420" w:leftChars="0" w:firstLine="422" w:firstLineChars="201"/>
        <w:jc w:val="left"/>
        <w:rPr>
          <w:rFonts w:ascii="宋体" w:hAnsi="宋体"/>
          <w:kern w:val="0"/>
          <w:szCs w:val="21"/>
        </w:rPr>
      </w:pPr>
      <w:r>
        <w:rPr>
          <w:rFonts w:hint="eastAsia" w:ascii="宋体" w:hAnsi="宋体"/>
          <w:kern w:val="0"/>
          <w:szCs w:val="21"/>
        </w:rPr>
        <w:t>2020年6月份插电混动动力市场，主要的厂家是华晨宝马，理想汽车和比亚迪三家。</w:t>
      </w:r>
    </w:p>
    <w:p>
      <w:pPr>
        <w:widowControl/>
        <w:ind w:left="420" w:leftChars="0" w:firstLine="422" w:firstLineChars="201"/>
        <w:jc w:val="left"/>
        <w:rPr>
          <w:rFonts w:ascii="宋体" w:hAnsi="宋体"/>
          <w:kern w:val="0"/>
          <w:szCs w:val="21"/>
        </w:rPr>
      </w:pPr>
      <w:r>
        <w:rPr>
          <w:rFonts w:hint="eastAsia" w:ascii="宋体" w:hAnsi="宋体"/>
          <w:kern w:val="0"/>
          <w:szCs w:val="21"/>
        </w:rPr>
        <w:t>由于销量均较低，排名有一定偶然性。对于19年6月份的走势形成较大的反差，其中上汽大众表现相对较强，一汽丰田和沃尔沃等表现也不错，这也体现了插电混动动力车型的合资企业表现相对优秀。</w:t>
      </w:r>
    </w:p>
    <w:p>
      <w:pPr>
        <w:widowControl/>
        <w:ind w:firstLine="422" w:firstLineChars="201"/>
        <w:jc w:val="left"/>
        <w:rPr>
          <w:rFonts w:ascii="宋体" w:hAnsi="宋体"/>
          <w:kern w:val="0"/>
          <w:szCs w:val="21"/>
        </w:rPr>
      </w:pPr>
    </w:p>
    <w:p>
      <w:pPr>
        <w:pStyle w:val="34"/>
        <w:widowControl/>
        <w:numPr>
          <w:ilvl w:val="0"/>
          <w:numId w:val="12"/>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混合动力企业表现较强</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5143500" cy="3104515"/>
            <wp:effectExtent l="0" t="0" r="0" b="635"/>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 name="图片 186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156930" cy="3112621"/>
                    </a:xfrm>
                    <a:prstGeom prst="rect">
                      <a:avLst/>
                    </a:prstGeom>
                    <a:noFill/>
                  </pic:spPr>
                </pic:pic>
              </a:graphicData>
            </a:graphic>
          </wp:inline>
        </w:drawing>
      </w:r>
    </w:p>
    <w:p>
      <w:pPr>
        <w:widowControl/>
        <w:ind w:firstLine="422" w:firstLineChars="201"/>
        <w:jc w:val="left"/>
        <w:rPr>
          <w:rFonts w:ascii="宋体" w:hAnsi="宋体"/>
          <w:kern w:val="0"/>
          <w:szCs w:val="21"/>
        </w:rPr>
      </w:pPr>
    </w:p>
    <w:p>
      <w:pPr>
        <w:widowControl/>
        <w:ind w:left="420" w:leftChars="0" w:firstLine="422" w:firstLineChars="201"/>
        <w:jc w:val="left"/>
        <w:rPr>
          <w:rFonts w:ascii="宋体" w:hAnsi="宋体"/>
          <w:kern w:val="0"/>
          <w:szCs w:val="21"/>
        </w:rPr>
      </w:pPr>
      <w:r>
        <w:rPr>
          <w:rFonts w:hint="eastAsia" w:ascii="宋体" w:hAnsi="宋体"/>
          <w:kern w:val="0"/>
          <w:szCs w:val="21"/>
        </w:rPr>
        <w:t>2020年混合动力车型还是日系几家的表现相对较强，其中一汽丰田表现优秀。</w:t>
      </w:r>
    </w:p>
    <w:p>
      <w:pPr>
        <w:widowControl/>
        <w:ind w:left="420" w:leftChars="0" w:firstLine="422" w:firstLineChars="201"/>
        <w:jc w:val="left"/>
        <w:rPr>
          <w:rFonts w:ascii="宋体" w:hAnsi="宋体"/>
          <w:kern w:val="0"/>
          <w:szCs w:val="21"/>
        </w:rPr>
      </w:pPr>
      <w:r>
        <w:rPr>
          <w:rFonts w:hint="eastAsia" w:ascii="宋体" w:hAnsi="宋体"/>
          <w:kern w:val="0"/>
          <w:szCs w:val="21"/>
        </w:rPr>
        <w:t>广汽本田表现相对较强，相对走势平稳，东风本田持续走势平稳，这也体现了丰田和本田的产业链优势。</w:t>
      </w:r>
    </w:p>
    <w:p>
      <w:pPr>
        <w:widowControl/>
        <w:ind w:left="420" w:leftChars="0" w:firstLine="422" w:firstLineChars="201"/>
        <w:jc w:val="left"/>
        <w:rPr>
          <w:rFonts w:ascii="宋体" w:hAnsi="宋体"/>
          <w:kern w:val="0"/>
          <w:szCs w:val="21"/>
        </w:rPr>
      </w:pPr>
      <w:r>
        <w:rPr>
          <w:rFonts w:hint="eastAsia" w:ascii="宋体" w:hAnsi="宋体"/>
          <w:kern w:val="0"/>
          <w:szCs w:val="21"/>
        </w:rPr>
        <w:t>混动品种随着日系新品进入而呈现丰田本田平分市场的特色。</w:t>
      </w:r>
    </w:p>
    <w:p>
      <w:pPr>
        <w:widowControl/>
        <w:ind w:firstLine="422" w:firstLineChars="201"/>
        <w:jc w:val="left"/>
        <w:rPr>
          <w:rFonts w:ascii="宋体" w:hAnsi="宋体"/>
          <w:kern w:val="0"/>
          <w:szCs w:val="21"/>
        </w:rPr>
      </w:pPr>
    </w:p>
    <w:p>
      <w:pPr>
        <w:pStyle w:val="34"/>
        <w:widowControl/>
        <w:ind w:left="142" w:firstLine="419" w:firstLineChars="0"/>
        <w:jc w:val="left"/>
        <w:outlineLvl w:val="0"/>
        <w:rPr>
          <w:rFonts w:ascii="宋体" w:hAnsi="宋体"/>
          <w:kern w:val="0"/>
          <w:szCs w:val="21"/>
        </w:rPr>
      </w:pPr>
      <w:r>
        <w:rPr>
          <w:rFonts w:hint="eastAsia" w:ascii="宋体" w:hAnsi="宋体"/>
          <w:b/>
          <w:color w:val="FF0000"/>
          <w:kern w:val="0"/>
          <w:sz w:val="28"/>
          <w:szCs w:val="21"/>
        </w:rPr>
        <w:t>九、</w:t>
      </w:r>
      <w:r>
        <w:rPr>
          <w:rFonts w:ascii="宋体" w:hAnsi="宋体"/>
          <w:b/>
          <w:color w:val="FF0000"/>
          <w:kern w:val="0"/>
          <w:sz w:val="28"/>
          <w:szCs w:val="21"/>
        </w:rPr>
        <w:t>6月</w:t>
      </w:r>
      <w:r>
        <w:rPr>
          <w:rFonts w:hint="eastAsia" w:ascii="宋体" w:hAnsi="宋体"/>
          <w:b/>
          <w:color w:val="FF0000"/>
          <w:kern w:val="0"/>
          <w:sz w:val="28"/>
          <w:szCs w:val="21"/>
        </w:rPr>
        <w:t>新能源车主力车型销量表现一般</w:t>
      </w:r>
    </w:p>
    <w:p>
      <w:pPr>
        <w:pStyle w:val="34"/>
        <w:widowControl/>
        <w:numPr>
          <w:ilvl w:val="0"/>
          <w:numId w:val="13"/>
        </w:numPr>
        <w:ind w:left="1324" w:leftChars="0" w:firstLineChars="0"/>
        <w:jc w:val="left"/>
        <w:outlineLvl w:val="1"/>
        <w:rPr>
          <w:rFonts w:ascii="黑体" w:hAnsi="黑体" w:eastAsia="黑体"/>
          <w:b/>
          <w:color w:val="FF0000"/>
          <w:sz w:val="24"/>
        </w:rPr>
      </w:pPr>
      <w:r>
        <w:rPr>
          <w:rFonts w:ascii="黑体" w:hAnsi="黑体" w:eastAsia="黑体"/>
          <w:b/>
          <w:color w:val="FF0000"/>
          <w:sz w:val="24"/>
        </w:rPr>
        <w:t>6月</w:t>
      </w:r>
      <w:r>
        <w:rPr>
          <w:rFonts w:hint="eastAsia" w:ascii="黑体" w:hAnsi="黑体" w:eastAsia="黑体"/>
          <w:b/>
          <w:color w:val="FF0000"/>
          <w:sz w:val="24"/>
        </w:rPr>
        <w:t>新能源车型批发量均较低</w:t>
      </w:r>
    </w:p>
    <w:p>
      <w:pPr>
        <w:ind w:firstLine="420" w:firstLineChars="0"/>
      </w:pPr>
      <w:r>
        <w:drawing>
          <wp:inline distT="0" distB="0" distL="0" distR="0">
            <wp:extent cx="5153025" cy="3331845"/>
            <wp:effectExtent l="0" t="0" r="0" b="1905"/>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 name="图片 18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160568" cy="3337212"/>
                    </a:xfrm>
                    <a:prstGeom prst="rect">
                      <a:avLst/>
                    </a:prstGeom>
                    <a:noFill/>
                  </pic:spPr>
                </pic:pic>
              </a:graphicData>
            </a:graphic>
          </wp:inline>
        </w:drawing>
      </w:r>
    </w:p>
    <w:p>
      <w:pPr>
        <w:widowControl/>
        <w:ind w:left="420" w:leftChars="0" w:firstLine="422" w:firstLineChars="201"/>
        <w:jc w:val="left"/>
        <w:rPr>
          <w:rFonts w:ascii="宋体" w:hAnsi="宋体"/>
          <w:kern w:val="0"/>
          <w:szCs w:val="21"/>
        </w:rPr>
      </w:pPr>
      <w:r>
        <w:rPr>
          <w:rFonts w:hint="eastAsia" w:ascii="宋体" w:hAnsi="宋体"/>
          <w:kern w:val="0"/>
          <w:szCs w:val="21"/>
        </w:rPr>
        <w:t>2020年纯电动车型表现相对较强的是M</w:t>
      </w:r>
      <w:r>
        <w:rPr>
          <w:rFonts w:ascii="宋体" w:hAnsi="宋体"/>
          <w:kern w:val="0"/>
          <w:szCs w:val="21"/>
        </w:rPr>
        <w:t>ODEL3</w:t>
      </w:r>
      <w:r>
        <w:rPr>
          <w:rFonts w:hint="eastAsia" w:ascii="宋体" w:hAnsi="宋体"/>
          <w:kern w:val="0"/>
          <w:szCs w:val="21"/>
        </w:rPr>
        <w:t>、比亚迪秦E</w:t>
      </w:r>
      <w:r>
        <w:rPr>
          <w:rFonts w:ascii="宋体" w:hAnsi="宋体"/>
          <w:kern w:val="0"/>
          <w:szCs w:val="21"/>
        </w:rPr>
        <w:t>V</w:t>
      </w:r>
      <w:r>
        <w:rPr>
          <w:rFonts w:hint="eastAsia" w:ascii="宋体" w:hAnsi="宋体"/>
          <w:kern w:val="0"/>
          <w:szCs w:val="21"/>
        </w:rPr>
        <w:t>、北汽E</w:t>
      </w:r>
      <w:r>
        <w:rPr>
          <w:rFonts w:ascii="宋体" w:hAnsi="宋体"/>
          <w:kern w:val="0"/>
          <w:szCs w:val="21"/>
        </w:rPr>
        <w:t>U</w:t>
      </w:r>
      <w:r>
        <w:rPr>
          <w:rFonts w:hint="eastAsia" w:ascii="宋体" w:hAnsi="宋体"/>
          <w:kern w:val="0"/>
          <w:szCs w:val="21"/>
        </w:rPr>
        <w:t>、等表现较强.</w:t>
      </w:r>
    </w:p>
    <w:p>
      <w:pPr>
        <w:widowControl/>
        <w:ind w:left="420" w:leftChars="0" w:firstLine="422" w:firstLineChars="201"/>
        <w:jc w:val="left"/>
        <w:rPr>
          <w:rFonts w:ascii="宋体" w:hAnsi="宋体"/>
          <w:kern w:val="0"/>
          <w:szCs w:val="21"/>
        </w:rPr>
      </w:pPr>
      <w:r>
        <w:rPr>
          <w:rFonts w:hint="eastAsia" w:ascii="宋体" w:hAnsi="宋体"/>
          <w:kern w:val="0"/>
          <w:szCs w:val="21"/>
        </w:rPr>
        <w:t>今年新能源车厂家走势的压力相对比较大，主力车型的销量相对去年同期相比都出现了明显的下降。</w:t>
      </w:r>
    </w:p>
    <w:p>
      <w:pPr>
        <w:widowControl/>
        <w:ind w:left="420" w:leftChars="0" w:firstLine="422" w:firstLineChars="201"/>
        <w:jc w:val="left"/>
        <w:rPr>
          <w:rFonts w:ascii="宋体" w:hAnsi="宋体"/>
          <w:kern w:val="0"/>
          <w:szCs w:val="21"/>
        </w:rPr>
      </w:pPr>
      <w:r>
        <w:rPr>
          <w:rFonts w:hint="eastAsia" w:ascii="宋体" w:hAnsi="宋体"/>
          <w:kern w:val="0"/>
          <w:szCs w:val="21"/>
        </w:rPr>
        <w:t>由于北京放号的推动，车市潜力较大。今年北京市场的需求车型主要是中大型，北汽E</w:t>
      </w:r>
      <w:r>
        <w:rPr>
          <w:rFonts w:ascii="宋体" w:hAnsi="宋体"/>
          <w:kern w:val="0"/>
          <w:szCs w:val="21"/>
        </w:rPr>
        <w:t>U</w:t>
      </w:r>
      <w:r>
        <w:rPr>
          <w:rFonts w:hint="eastAsia" w:ascii="宋体" w:hAnsi="宋体"/>
          <w:kern w:val="0"/>
          <w:szCs w:val="21"/>
        </w:rPr>
        <w:t>表现的好，广汽的A</w:t>
      </w:r>
      <w:r>
        <w:rPr>
          <w:rFonts w:ascii="宋体" w:hAnsi="宋体"/>
          <w:kern w:val="0"/>
          <w:szCs w:val="21"/>
        </w:rPr>
        <w:t xml:space="preserve">ION </w:t>
      </w:r>
      <w:r>
        <w:rPr>
          <w:rFonts w:hint="eastAsia" w:ascii="宋体" w:hAnsi="宋体"/>
          <w:kern w:val="0"/>
          <w:szCs w:val="21"/>
        </w:rPr>
        <w:t>s很强。</w:t>
      </w:r>
      <w:r>
        <w:rPr>
          <w:rFonts w:ascii="宋体" w:hAnsi="宋体"/>
          <w:kern w:val="0"/>
          <w:szCs w:val="21"/>
        </w:rPr>
        <w:t>20</w:t>
      </w:r>
      <w:r>
        <w:rPr>
          <w:rFonts w:hint="eastAsia" w:ascii="宋体" w:hAnsi="宋体"/>
          <w:kern w:val="0"/>
          <w:szCs w:val="21"/>
        </w:rPr>
        <w:t>年的蔚来E</w:t>
      </w:r>
      <w:r>
        <w:rPr>
          <w:rFonts w:ascii="宋体" w:hAnsi="宋体"/>
          <w:kern w:val="0"/>
          <w:szCs w:val="21"/>
        </w:rPr>
        <w:t>S6</w:t>
      </w:r>
      <w:r>
        <w:rPr>
          <w:rFonts w:hint="eastAsia" w:ascii="宋体" w:hAnsi="宋体"/>
          <w:kern w:val="0"/>
          <w:szCs w:val="21"/>
        </w:rPr>
        <w:t>新品表现不错。</w:t>
      </w:r>
    </w:p>
    <w:p>
      <w:pPr>
        <w:pStyle w:val="34"/>
        <w:widowControl/>
        <w:numPr>
          <w:ilvl w:val="0"/>
          <w:numId w:val="14"/>
        </w:numPr>
        <w:ind w:left="1324" w:leftChars="0" w:firstLineChars="0"/>
        <w:jc w:val="left"/>
        <w:outlineLvl w:val="1"/>
        <w:rPr>
          <w:rFonts w:ascii="黑体" w:hAnsi="黑体" w:eastAsia="黑体"/>
          <w:b/>
          <w:color w:val="FF0000"/>
          <w:sz w:val="24"/>
        </w:rPr>
      </w:pPr>
      <w:r>
        <w:rPr>
          <w:rFonts w:ascii="黑体" w:hAnsi="黑体" w:eastAsia="黑体"/>
          <w:b/>
          <w:color w:val="FF0000"/>
          <w:sz w:val="24"/>
        </w:rPr>
        <w:t>6月</w:t>
      </w:r>
      <w:r>
        <w:rPr>
          <w:rFonts w:hint="eastAsia" w:ascii="黑体" w:hAnsi="黑体" w:eastAsia="黑体"/>
          <w:b/>
          <w:color w:val="FF0000"/>
          <w:sz w:val="24"/>
        </w:rPr>
        <w:t>纯电动主力车型批发均较低</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6508750" cy="4094480"/>
            <wp:effectExtent l="0" t="0" r="6350" b="127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 name="图片 186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6516268" cy="4099209"/>
                    </a:xfrm>
                    <a:prstGeom prst="rect">
                      <a:avLst/>
                    </a:prstGeom>
                    <a:noFill/>
                  </pic:spPr>
                </pic:pic>
              </a:graphicData>
            </a:graphic>
          </wp:inline>
        </w:drawing>
      </w:r>
    </w:p>
    <w:p>
      <w:pPr>
        <w:widowControl/>
        <w:ind w:firstLine="422" w:firstLineChars="201"/>
        <w:jc w:val="left"/>
        <w:rPr>
          <w:rFonts w:ascii="宋体" w:hAnsi="宋体"/>
          <w:kern w:val="0"/>
          <w:szCs w:val="21"/>
        </w:rPr>
      </w:pPr>
    </w:p>
    <w:p>
      <w:pPr>
        <w:widowControl/>
        <w:ind w:left="420" w:leftChars="0" w:firstLine="422" w:firstLineChars="201"/>
        <w:jc w:val="left"/>
        <w:rPr>
          <w:rFonts w:ascii="宋体" w:hAnsi="宋体"/>
          <w:kern w:val="0"/>
          <w:szCs w:val="21"/>
        </w:rPr>
      </w:pPr>
      <w:r>
        <w:rPr>
          <w:rFonts w:hint="eastAsia" w:ascii="宋体" w:hAnsi="宋体"/>
          <w:kern w:val="0"/>
          <w:szCs w:val="21"/>
        </w:rPr>
        <w:t>2020年纯电动车型表现相对较强的是M</w:t>
      </w:r>
      <w:r>
        <w:rPr>
          <w:rFonts w:ascii="宋体" w:hAnsi="宋体"/>
          <w:kern w:val="0"/>
          <w:szCs w:val="21"/>
        </w:rPr>
        <w:t>ODEL3</w:t>
      </w:r>
      <w:r>
        <w:rPr>
          <w:rFonts w:hint="eastAsia" w:ascii="宋体" w:hAnsi="宋体"/>
          <w:kern w:val="0"/>
          <w:szCs w:val="21"/>
        </w:rPr>
        <w:t>、北汽E</w:t>
      </w:r>
      <w:r>
        <w:rPr>
          <w:rFonts w:ascii="宋体" w:hAnsi="宋体"/>
          <w:kern w:val="0"/>
          <w:szCs w:val="21"/>
        </w:rPr>
        <w:t>U</w:t>
      </w:r>
      <w:r>
        <w:rPr>
          <w:rFonts w:hint="eastAsia" w:ascii="宋体" w:hAnsi="宋体"/>
          <w:kern w:val="0"/>
          <w:szCs w:val="21"/>
        </w:rPr>
        <w:t>、广汽传祺</w:t>
      </w:r>
      <w:r>
        <w:rPr>
          <w:rFonts w:ascii="宋体" w:hAnsi="宋体"/>
          <w:kern w:val="0"/>
          <w:szCs w:val="21"/>
        </w:rPr>
        <w:t>AION</w:t>
      </w:r>
      <w:r>
        <w:rPr>
          <w:rFonts w:hint="eastAsia" w:ascii="宋体" w:hAnsi="宋体"/>
          <w:kern w:val="0"/>
          <w:szCs w:val="21"/>
        </w:rPr>
        <w:t>s，比亚迪秦E</w:t>
      </w:r>
      <w:r>
        <w:rPr>
          <w:rFonts w:ascii="宋体" w:hAnsi="宋体"/>
          <w:kern w:val="0"/>
          <w:szCs w:val="21"/>
        </w:rPr>
        <w:t>V.</w:t>
      </w:r>
      <w:r>
        <w:rPr>
          <w:rFonts w:hint="eastAsia" w:ascii="宋体" w:hAnsi="宋体"/>
          <w:kern w:val="0"/>
          <w:szCs w:val="21"/>
        </w:rPr>
        <w:t>.</w:t>
      </w:r>
    </w:p>
    <w:p>
      <w:pPr>
        <w:widowControl/>
        <w:ind w:left="420" w:leftChars="0" w:firstLine="422" w:firstLineChars="201"/>
        <w:jc w:val="left"/>
        <w:rPr>
          <w:rFonts w:ascii="宋体" w:hAnsi="宋体"/>
          <w:kern w:val="0"/>
          <w:szCs w:val="21"/>
        </w:rPr>
      </w:pPr>
      <w:r>
        <w:rPr>
          <w:rFonts w:hint="eastAsia" w:ascii="宋体" w:hAnsi="宋体"/>
          <w:kern w:val="0"/>
          <w:szCs w:val="21"/>
        </w:rPr>
        <w:t>今年新能源车厂家走势的压力相对比较大，主力车型的销量相对去年同期相比都出现了明显的下降。</w:t>
      </w:r>
    </w:p>
    <w:p>
      <w:pPr>
        <w:widowControl/>
        <w:ind w:left="420" w:leftChars="0" w:firstLine="422" w:firstLineChars="201"/>
        <w:jc w:val="left"/>
        <w:rPr>
          <w:rFonts w:ascii="宋体" w:hAnsi="宋体"/>
          <w:kern w:val="0"/>
          <w:szCs w:val="21"/>
        </w:rPr>
      </w:pPr>
      <w:r>
        <w:rPr>
          <w:rFonts w:hint="eastAsia" w:ascii="宋体" w:hAnsi="宋体"/>
          <w:kern w:val="0"/>
          <w:szCs w:val="21"/>
        </w:rPr>
        <w:t>由于北京放号的推动，车市潜力较大。今年北京市场的需求车型主要是中大型，北汽E</w:t>
      </w:r>
      <w:r>
        <w:rPr>
          <w:rFonts w:ascii="宋体" w:hAnsi="宋体"/>
          <w:kern w:val="0"/>
          <w:szCs w:val="21"/>
        </w:rPr>
        <w:t>U</w:t>
      </w:r>
      <w:r>
        <w:rPr>
          <w:rFonts w:hint="eastAsia" w:ascii="宋体" w:hAnsi="宋体"/>
          <w:kern w:val="0"/>
          <w:szCs w:val="21"/>
        </w:rPr>
        <w:t>表现的好，广汽的A</w:t>
      </w:r>
      <w:r>
        <w:rPr>
          <w:rFonts w:ascii="宋体" w:hAnsi="宋体"/>
          <w:kern w:val="0"/>
          <w:szCs w:val="21"/>
        </w:rPr>
        <w:t xml:space="preserve">ION </w:t>
      </w:r>
      <w:r>
        <w:rPr>
          <w:rFonts w:hint="eastAsia" w:ascii="宋体" w:hAnsi="宋体"/>
          <w:kern w:val="0"/>
          <w:szCs w:val="21"/>
        </w:rPr>
        <w:t>s很强。</w:t>
      </w:r>
      <w:r>
        <w:rPr>
          <w:rFonts w:ascii="宋体" w:hAnsi="宋体"/>
          <w:kern w:val="0"/>
          <w:szCs w:val="21"/>
        </w:rPr>
        <w:t>20</w:t>
      </w:r>
      <w:r>
        <w:rPr>
          <w:rFonts w:hint="eastAsia" w:ascii="宋体" w:hAnsi="宋体"/>
          <w:kern w:val="0"/>
          <w:szCs w:val="21"/>
        </w:rPr>
        <w:t>年的蔚来E</w:t>
      </w:r>
      <w:r>
        <w:rPr>
          <w:rFonts w:ascii="宋体" w:hAnsi="宋体"/>
          <w:kern w:val="0"/>
          <w:szCs w:val="21"/>
        </w:rPr>
        <w:t>S6</w:t>
      </w:r>
      <w:r>
        <w:rPr>
          <w:rFonts w:hint="eastAsia" w:ascii="宋体" w:hAnsi="宋体"/>
          <w:kern w:val="0"/>
          <w:szCs w:val="21"/>
        </w:rPr>
        <w:t>新品表现不错。</w:t>
      </w:r>
    </w:p>
    <w:p>
      <w:pPr>
        <w:widowControl/>
        <w:ind w:firstLine="422" w:firstLineChars="201"/>
        <w:jc w:val="left"/>
        <w:rPr>
          <w:rFonts w:ascii="宋体" w:hAnsi="宋体"/>
          <w:kern w:val="0"/>
          <w:szCs w:val="21"/>
        </w:rPr>
      </w:pPr>
    </w:p>
    <w:p>
      <w:pPr>
        <w:pStyle w:val="34"/>
        <w:widowControl/>
        <w:numPr>
          <w:ilvl w:val="0"/>
          <w:numId w:val="14"/>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插电混动主力车型批发销量暂时调整</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7139305" cy="4203700"/>
            <wp:effectExtent l="0" t="0" r="444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7139305" cy="4203700"/>
                    </a:xfrm>
                    <a:prstGeom prst="rect">
                      <a:avLst/>
                    </a:prstGeom>
                    <a:noFill/>
                  </pic:spPr>
                </pic:pic>
              </a:graphicData>
            </a:graphic>
          </wp:inline>
        </w:drawing>
      </w:r>
    </w:p>
    <w:p>
      <w:pPr>
        <w:widowControl/>
        <w:ind w:left="420" w:leftChars="0" w:firstLine="422" w:firstLineChars="201"/>
        <w:jc w:val="left"/>
        <w:rPr>
          <w:rFonts w:ascii="宋体" w:hAnsi="宋体"/>
          <w:kern w:val="0"/>
          <w:szCs w:val="21"/>
        </w:rPr>
      </w:pPr>
      <w:r>
        <w:rPr>
          <w:rFonts w:hint="eastAsia" w:ascii="宋体" w:hAnsi="宋体"/>
          <w:kern w:val="0"/>
          <w:szCs w:val="21"/>
        </w:rPr>
        <w:t>插电混合动力车型体现合资企业为主的特色，宝马5系的表现相对较强，近期荣威I</w:t>
      </w:r>
      <w:r>
        <w:rPr>
          <w:rFonts w:ascii="宋体" w:hAnsi="宋体"/>
          <w:kern w:val="0"/>
          <w:szCs w:val="21"/>
        </w:rPr>
        <w:t>6</w:t>
      </w:r>
      <w:r>
        <w:rPr>
          <w:rFonts w:hint="eastAsia" w:ascii="宋体" w:hAnsi="宋体"/>
          <w:kern w:val="0"/>
          <w:szCs w:val="21"/>
        </w:rPr>
        <w:t>的销量较好。</w:t>
      </w:r>
    </w:p>
    <w:p>
      <w:pPr>
        <w:widowControl/>
        <w:ind w:left="420" w:leftChars="0" w:firstLine="422" w:firstLineChars="201"/>
        <w:jc w:val="left"/>
        <w:rPr>
          <w:rFonts w:ascii="宋体" w:hAnsi="宋体"/>
          <w:kern w:val="0"/>
          <w:szCs w:val="21"/>
        </w:rPr>
      </w:pPr>
      <w:r>
        <w:rPr>
          <w:rFonts w:hint="eastAsia" w:ascii="宋体" w:hAnsi="宋体"/>
          <w:kern w:val="0"/>
          <w:szCs w:val="21"/>
        </w:rPr>
        <w:t>增程式电动车的理想O</w:t>
      </w:r>
      <w:r>
        <w:rPr>
          <w:rFonts w:ascii="宋体" w:hAnsi="宋体"/>
          <w:kern w:val="0"/>
          <w:szCs w:val="21"/>
        </w:rPr>
        <w:t>NE</w:t>
      </w:r>
      <w:r>
        <w:rPr>
          <w:rFonts w:hint="eastAsia" w:ascii="宋体" w:hAnsi="宋体"/>
          <w:kern w:val="0"/>
          <w:szCs w:val="21"/>
        </w:rPr>
        <w:t>的表现相对较强，说明消费者对高端电动车还是有很好的的接受度。</w:t>
      </w:r>
    </w:p>
    <w:p>
      <w:pPr>
        <w:widowControl/>
        <w:ind w:firstLine="422" w:firstLineChars="201"/>
        <w:jc w:val="left"/>
        <w:rPr>
          <w:rFonts w:ascii="宋体" w:hAnsi="宋体"/>
          <w:kern w:val="0"/>
          <w:szCs w:val="21"/>
        </w:rPr>
      </w:pPr>
    </w:p>
    <w:p>
      <w:pPr>
        <w:widowControl/>
        <w:ind w:left="420" w:leftChars="0" w:firstLine="422" w:firstLineChars="201"/>
        <w:jc w:val="left"/>
        <w:rPr>
          <w:rFonts w:ascii="黑体" w:hAnsi="黑体" w:eastAsia="黑体"/>
          <w:b/>
          <w:color w:val="FF0000"/>
          <w:sz w:val="24"/>
        </w:rPr>
      </w:pPr>
      <w:r>
        <w:rPr>
          <w:rFonts w:hint="eastAsia" w:ascii="宋体" w:hAnsi="宋体"/>
          <w:kern w:val="0"/>
          <w:szCs w:val="21"/>
        </w:rPr>
        <w:t>。</w:t>
      </w:r>
    </w:p>
    <w:p>
      <w:pPr>
        <w:pStyle w:val="34"/>
        <w:widowControl/>
        <w:numPr>
          <w:ilvl w:val="0"/>
          <w:numId w:val="14"/>
        </w:numPr>
        <w:ind w:left="1324" w:leftChars="0" w:firstLineChars="0"/>
        <w:jc w:val="left"/>
        <w:outlineLvl w:val="1"/>
        <w:rPr>
          <w:rFonts w:ascii="黑体" w:hAnsi="黑体" w:eastAsia="黑体"/>
          <w:b/>
          <w:color w:val="FF0000"/>
          <w:sz w:val="24"/>
        </w:rPr>
      </w:pPr>
      <w:r>
        <w:rPr>
          <w:rFonts w:hint="eastAsia" w:ascii="黑体" w:hAnsi="黑体" w:eastAsia="黑体"/>
          <w:b/>
          <w:color w:val="FF0000"/>
          <w:sz w:val="24"/>
        </w:rPr>
        <w:t>普通混动主力车型越来越少但需求良好</w:t>
      </w:r>
    </w:p>
    <w:p>
      <w:pPr>
        <w:widowControl/>
        <w:ind w:left="420" w:leftChars="0" w:firstLine="422" w:firstLineChars="201"/>
        <w:jc w:val="left"/>
        <w:rPr>
          <w:rFonts w:ascii="宋体" w:hAnsi="宋体"/>
          <w:kern w:val="0"/>
          <w:szCs w:val="21"/>
        </w:rPr>
      </w:pPr>
      <w:r>
        <w:rPr>
          <w:rFonts w:ascii="宋体" w:hAnsi="宋体"/>
          <w:kern w:val="0"/>
          <w:szCs w:val="21"/>
        </w:rPr>
        <w:drawing>
          <wp:inline distT="0" distB="0" distL="0" distR="0">
            <wp:extent cx="6956425" cy="4151630"/>
            <wp:effectExtent l="0" t="0" r="0" b="127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 name="图片 18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6956425" cy="4151630"/>
                    </a:xfrm>
                    <a:prstGeom prst="rect">
                      <a:avLst/>
                    </a:prstGeom>
                    <a:noFill/>
                  </pic:spPr>
                </pic:pic>
              </a:graphicData>
            </a:graphic>
          </wp:inline>
        </w:drawing>
      </w:r>
    </w:p>
    <w:p>
      <w:pPr>
        <w:widowControl/>
        <w:ind w:firstLine="422" w:firstLineChars="201"/>
        <w:jc w:val="left"/>
        <w:rPr>
          <w:rFonts w:ascii="宋体" w:hAnsi="宋体"/>
          <w:kern w:val="0"/>
          <w:szCs w:val="21"/>
        </w:rPr>
      </w:pPr>
    </w:p>
    <w:p>
      <w:pPr>
        <w:widowControl/>
        <w:ind w:left="420" w:leftChars="0" w:firstLine="422" w:firstLineChars="201"/>
        <w:jc w:val="left"/>
        <w:rPr>
          <w:rFonts w:ascii="宋体" w:hAnsi="宋体"/>
          <w:kern w:val="0"/>
          <w:szCs w:val="21"/>
        </w:rPr>
      </w:pPr>
      <w:r>
        <w:rPr>
          <w:rFonts w:ascii="宋体" w:hAnsi="宋体"/>
          <w:kern w:val="0"/>
          <w:szCs w:val="21"/>
        </w:rPr>
        <w:t>20</w:t>
      </w:r>
      <w:r>
        <w:rPr>
          <w:rFonts w:hint="eastAsia" w:ascii="宋体" w:hAnsi="宋体"/>
          <w:kern w:val="0"/>
          <w:szCs w:val="21"/>
        </w:rPr>
        <w:t>年6月份普通混合动力总体走势较强，日系的受到疫情影响的恢复较快，导致混合动力环比增长较大。</w:t>
      </w:r>
    </w:p>
    <w:p>
      <w:pPr>
        <w:widowControl/>
        <w:ind w:left="420" w:leftChars="0" w:firstLine="422" w:firstLineChars="201"/>
        <w:jc w:val="left"/>
      </w:pPr>
      <w:r>
        <w:rPr>
          <w:rFonts w:hint="eastAsia" w:ascii="宋体" w:hAnsi="宋体"/>
          <w:kern w:val="0"/>
          <w:szCs w:val="21"/>
        </w:rPr>
        <w:t>丰田本田是普通混合动力的核心推动。目前看一汽丰田等的混动表现较强。</w:t>
      </w:r>
      <w:r>
        <w:rPr>
          <w:rFonts w:hint="eastAsia"/>
        </w:rPr>
        <w:t>但随着疫情的发展，日系的混合动力也面临着产量受损的情况。</w:t>
      </w:r>
    </w:p>
    <w:p>
      <w:pPr>
        <w:widowControl/>
        <w:ind w:left="420" w:leftChars="0" w:firstLine="422" w:firstLineChars="201"/>
        <w:jc w:val="left"/>
      </w:pPr>
      <w:r>
        <w:rPr>
          <w:rFonts w:hint="eastAsia"/>
        </w:rPr>
        <w:t>目前看，日系高端车型的混动化趋势明显，油耗改善较好。</w:t>
      </w:r>
    </w:p>
    <w:p>
      <w:pPr>
        <w:widowControl/>
        <w:ind w:firstLine="422" w:firstLineChars="201"/>
        <w:jc w:val="left"/>
      </w:pPr>
    </w:p>
    <w:p>
      <w:pPr>
        <w:widowControl/>
        <w:ind w:firstLine="422" w:firstLineChars="201"/>
        <w:jc w:val="left"/>
      </w:pPr>
    </w:p>
    <w:bookmarkEnd w:id="55"/>
    <w:p>
      <w:pPr>
        <w:pStyle w:val="34"/>
        <w:widowControl/>
        <w:ind w:left="142" w:firstLine="419" w:firstLineChars="0"/>
        <w:jc w:val="left"/>
        <w:outlineLvl w:val="0"/>
        <w:rPr>
          <w:rFonts w:ascii="宋体" w:hAnsi="宋体"/>
          <w:kern w:val="0"/>
          <w:szCs w:val="21"/>
        </w:rPr>
      </w:pPr>
      <w:r>
        <w:rPr>
          <w:rFonts w:hint="eastAsia" w:ascii="宋体" w:hAnsi="宋体"/>
          <w:b/>
          <w:color w:val="FF0000"/>
          <w:kern w:val="0"/>
          <w:sz w:val="28"/>
          <w:szCs w:val="21"/>
        </w:rPr>
        <w:t>十、</w:t>
      </w:r>
      <w:r>
        <w:rPr>
          <w:rFonts w:ascii="宋体" w:hAnsi="宋体"/>
          <w:b/>
          <w:color w:val="FF0000"/>
          <w:kern w:val="0"/>
          <w:sz w:val="28"/>
          <w:szCs w:val="21"/>
        </w:rPr>
        <w:t>6月</w:t>
      </w:r>
      <w:r>
        <w:rPr>
          <w:rFonts w:hint="eastAsia" w:ascii="宋体" w:hAnsi="宋体"/>
          <w:b/>
          <w:color w:val="FF0000"/>
          <w:kern w:val="0"/>
          <w:sz w:val="28"/>
          <w:szCs w:val="21"/>
        </w:rPr>
        <w:t>新能源车客车销量表现一般</w:t>
      </w:r>
    </w:p>
    <w:p>
      <w:pPr>
        <w:ind w:firstLine="422" w:firstLineChars="201"/>
      </w:pPr>
    </w:p>
    <w:p>
      <w:pPr>
        <w:ind w:firstLine="420" w:firstLineChars="0"/>
        <w:rPr>
          <w:b/>
          <w:color w:val="FF0000"/>
          <w:sz w:val="24"/>
        </w:rPr>
      </w:pPr>
      <w:r>
        <w:rPr>
          <w:rFonts w:hint="eastAsia"/>
          <w:b/>
          <w:color w:val="FF0000"/>
          <w:sz w:val="24"/>
        </w:rPr>
        <w:t>1、</w:t>
      </w:r>
      <w:r>
        <w:rPr>
          <w:b/>
          <w:color w:val="FF0000"/>
          <w:sz w:val="24"/>
        </w:rPr>
        <w:t>20</w:t>
      </w:r>
      <w:r>
        <w:rPr>
          <w:rFonts w:hint="eastAsia"/>
          <w:b/>
          <w:color w:val="FF0000"/>
          <w:sz w:val="24"/>
        </w:rPr>
        <w:t>年新能源客车上牌表现</w:t>
      </w:r>
    </w:p>
    <w:p>
      <w:pPr>
        <w:ind w:firstLine="420" w:firstLineChars="0"/>
      </w:pPr>
      <w:r>
        <w:drawing>
          <wp:inline distT="0" distB="0" distL="0" distR="0">
            <wp:extent cx="5067300" cy="1135380"/>
            <wp:effectExtent l="0" t="0" r="0" b="7620"/>
            <wp:docPr id="1865" name="图片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 name="图片 18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067300" cy="1135380"/>
                    </a:xfrm>
                    <a:prstGeom prst="rect">
                      <a:avLst/>
                    </a:prstGeom>
                    <a:noFill/>
                    <a:ln>
                      <a:noFill/>
                    </a:ln>
                  </pic:spPr>
                </pic:pic>
              </a:graphicData>
            </a:graphic>
          </wp:inline>
        </w:drawing>
      </w:r>
    </w:p>
    <w:p>
      <w:pPr>
        <w:ind w:left="420" w:leftChars="0" w:firstLine="424" w:firstLineChars="202"/>
      </w:pPr>
      <w:r>
        <w:rPr>
          <w:rFonts w:hint="eastAsia"/>
        </w:rPr>
        <w:t>2</w:t>
      </w:r>
      <w:r>
        <w:t>020</w:t>
      </w:r>
      <w:r>
        <w:rPr>
          <w:rFonts w:hint="eastAsia"/>
        </w:rPr>
        <w:t>年年初新能源车增长总体很低迷，其中新能源客车</w:t>
      </w:r>
      <w:r>
        <w:t>20</w:t>
      </w:r>
      <w:r>
        <w:rPr>
          <w:rFonts w:hint="eastAsia"/>
        </w:rPr>
        <w:t>年1</w:t>
      </w:r>
      <w:r>
        <w:t>-6月2.1</w:t>
      </w:r>
      <w:r>
        <w:rPr>
          <w:rFonts w:hint="eastAsia"/>
        </w:rPr>
        <w:t>万台，同比下降</w:t>
      </w:r>
      <w:r>
        <w:t>38</w:t>
      </w:r>
      <w:r>
        <w:rPr>
          <w:rFonts w:hint="eastAsia"/>
        </w:rPr>
        <w:t>%，6月0</w:t>
      </w:r>
      <w:r>
        <w:t>.41</w:t>
      </w:r>
      <w:r>
        <w:rPr>
          <w:rFonts w:hint="eastAsia"/>
        </w:rPr>
        <w:t>万，增速</w:t>
      </w:r>
      <w:r>
        <w:t>-39</w:t>
      </w:r>
      <w:r>
        <w:rPr>
          <w:rFonts w:hint="eastAsia"/>
        </w:rPr>
        <w:t>%，增长表现平稳，。</w:t>
      </w:r>
    </w:p>
    <w:p>
      <w:pPr>
        <w:ind w:left="420" w:leftChars="0" w:firstLine="424" w:firstLineChars="202"/>
      </w:pPr>
      <w:r>
        <w:t>20</w:t>
      </w:r>
      <w:r>
        <w:rPr>
          <w:rFonts w:hint="eastAsia"/>
        </w:rPr>
        <w:t>年6月新能源客车的表现相对较好，销量环比回升缓慢，较1</w:t>
      </w:r>
      <w:r>
        <w:t>9</w:t>
      </w:r>
      <w:r>
        <w:rPr>
          <w:rFonts w:hint="eastAsia"/>
        </w:rPr>
        <w:t>年6月上升，走势平稳。</w:t>
      </w:r>
    </w:p>
    <w:p>
      <w:pPr>
        <w:ind w:left="420" w:leftChars="0" w:firstLine="424" w:firstLineChars="202"/>
      </w:pPr>
      <w:r>
        <w:rPr>
          <w:rFonts w:hint="eastAsia"/>
        </w:rPr>
        <w:t>近几年的新能源客车的销量是小幅负增长，这也是需求总规模不大的特征，今年的后期压力仍较大。</w:t>
      </w:r>
    </w:p>
    <w:p/>
    <w:p>
      <w:pPr>
        <w:ind w:firstLine="420" w:firstLineChars="0"/>
        <w:rPr>
          <w:b/>
          <w:color w:val="FF0000"/>
          <w:sz w:val="24"/>
        </w:rPr>
      </w:pPr>
      <w:r>
        <w:rPr>
          <w:rFonts w:hint="eastAsia"/>
          <w:b/>
          <w:color w:val="FF0000"/>
          <w:sz w:val="24"/>
        </w:rPr>
        <w:t>2、客车增长特征</w:t>
      </w:r>
    </w:p>
    <w:p>
      <w:pPr>
        <w:ind w:firstLine="420" w:firstLineChars="0"/>
      </w:pPr>
      <w:r>
        <w:drawing>
          <wp:inline distT="0" distB="0" distL="0" distR="0">
            <wp:extent cx="5688330" cy="3377565"/>
            <wp:effectExtent l="0" t="0" r="7620" b="0"/>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 name="图片 18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688330" cy="3377565"/>
                    </a:xfrm>
                    <a:prstGeom prst="rect">
                      <a:avLst/>
                    </a:prstGeom>
                    <a:noFill/>
                  </pic:spPr>
                </pic:pic>
              </a:graphicData>
            </a:graphic>
          </wp:inline>
        </w:drawing>
      </w:r>
    </w:p>
    <w:p>
      <w:pPr>
        <w:ind w:firstLine="699" w:firstLineChars="333"/>
      </w:pPr>
      <w:r>
        <w:rPr>
          <w:rFonts w:hint="eastAsia"/>
        </w:rPr>
        <w:t>在中国客车市场全年的销量中，新能源占据了举足轻重的作用，改变了中国客车市场的销售规律，每年退坡时新能源客车</w:t>
      </w:r>
      <w:r>
        <w:t>销售高峰对全年销售贡献度极高。</w:t>
      </w:r>
    </w:p>
    <w:p>
      <w:pPr>
        <w:ind w:firstLine="699" w:firstLineChars="333"/>
      </w:pPr>
      <w:r>
        <w:rPr>
          <w:rFonts w:hint="eastAsia"/>
        </w:rPr>
        <w:t>新能源客车上牌走势相对复杂，总体客车市场饱和，但新能源仍属于相对利润较好。</w:t>
      </w:r>
    </w:p>
    <w:p>
      <w:pPr>
        <w:ind w:firstLine="699" w:firstLineChars="333"/>
      </w:pPr>
      <w:r>
        <w:rPr>
          <w:rFonts w:hint="eastAsia"/>
        </w:rPr>
        <w:t>。</w:t>
      </w:r>
    </w:p>
    <w:p>
      <w:pPr>
        <w:ind w:firstLine="420" w:firstLineChars="0"/>
        <w:rPr>
          <w:b/>
          <w:color w:val="FF0000"/>
          <w:sz w:val="24"/>
        </w:rPr>
      </w:pPr>
      <w:r>
        <w:rPr>
          <w:rFonts w:hint="eastAsia"/>
          <w:b/>
          <w:color w:val="FF0000"/>
          <w:sz w:val="24"/>
        </w:rPr>
        <w:t>3、新能源客车产品特征</w:t>
      </w:r>
    </w:p>
    <w:p>
      <w:pPr>
        <w:ind w:firstLine="420" w:firstLineChars="0"/>
      </w:pPr>
      <w:r>
        <w:drawing>
          <wp:inline distT="0" distB="0" distL="0" distR="0">
            <wp:extent cx="4648200" cy="2110740"/>
            <wp:effectExtent l="0" t="0" r="0" b="381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 name="图片 18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4648200" cy="2110740"/>
                    </a:xfrm>
                    <a:prstGeom prst="rect">
                      <a:avLst/>
                    </a:prstGeom>
                    <a:noFill/>
                    <a:ln>
                      <a:noFill/>
                    </a:ln>
                  </pic:spPr>
                </pic:pic>
              </a:graphicData>
            </a:graphic>
          </wp:inline>
        </w:drawing>
      </w:r>
    </w:p>
    <w:p>
      <w:pPr>
        <w:ind w:firstLine="420" w:firstLineChars="0"/>
      </w:pPr>
      <w:r>
        <w:rPr>
          <w:rFonts w:hint="eastAsia"/>
        </w:rPr>
        <w:t>我国新能源客车产品向纯电动、大型化方向发展。新能源客车的产品逐步走上稳定，大中型客车成为主力，微客市场也有逐步恢复的特征。</w:t>
      </w:r>
    </w:p>
    <w:p>
      <w:pPr>
        <w:ind w:firstLine="420" w:firstLineChars="0"/>
      </w:pPr>
      <w:r>
        <w:rPr>
          <w:rFonts w:hint="eastAsia"/>
        </w:rPr>
        <w:t>由于专用车的微客和轻客较多，因此电动微客实际应该是物流车的需求使用，不属于乘用车和一般客车的特征。</w:t>
      </w:r>
    </w:p>
    <w:p/>
    <w:p>
      <w:pPr>
        <w:ind w:firstLine="420" w:firstLineChars="0"/>
        <w:rPr>
          <w:b/>
          <w:color w:val="FF0000"/>
          <w:sz w:val="24"/>
        </w:rPr>
      </w:pPr>
      <w:r>
        <w:rPr>
          <w:b/>
          <w:color w:val="FF0000"/>
          <w:sz w:val="24"/>
        </w:rPr>
        <w:t>4</w:t>
      </w:r>
      <w:r>
        <w:rPr>
          <w:rFonts w:hint="eastAsia"/>
          <w:b/>
          <w:color w:val="FF0000"/>
          <w:sz w:val="24"/>
        </w:rPr>
        <w:t>、新能源客车用途特征</w:t>
      </w:r>
    </w:p>
    <w:p>
      <w:pPr>
        <w:ind w:firstLine="420" w:firstLineChars="0"/>
      </w:pPr>
      <w:r>
        <w:drawing>
          <wp:inline distT="0" distB="0" distL="0" distR="0">
            <wp:extent cx="4914900" cy="3863340"/>
            <wp:effectExtent l="0" t="0" r="0" b="3810"/>
            <wp:docPr id="1868" name="图片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 name="图片 18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4914900" cy="3863340"/>
                    </a:xfrm>
                    <a:prstGeom prst="rect">
                      <a:avLst/>
                    </a:prstGeom>
                    <a:noFill/>
                    <a:ln>
                      <a:noFill/>
                    </a:ln>
                  </pic:spPr>
                </pic:pic>
              </a:graphicData>
            </a:graphic>
          </wp:inline>
        </w:drawing>
      </w:r>
    </w:p>
    <w:p>
      <w:pPr>
        <w:ind w:firstLine="420" w:firstLineChars="0"/>
      </w:pPr>
      <w:r>
        <w:rPr>
          <w:rFonts w:hint="eastAsia"/>
        </w:rPr>
        <w:t>新能源客车的城市公交类占比逐步提升。大客2</w:t>
      </w:r>
      <w:r>
        <w:t>020</w:t>
      </w:r>
      <w:r>
        <w:rPr>
          <w:rFonts w:hint="eastAsia"/>
        </w:rPr>
        <w:t>年公交的占比相对2</w:t>
      </w:r>
      <w:r>
        <w:t>019</w:t>
      </w:r>
      <w:r>
        <w:rPr>
          <w:rFonts w:hint="eastAsia"/>
        </w:rPr>
        <w:t>年同期基本持平，并小幅增长。</w:t>
      </w:r>
    </w:p>
    <w:p>
      <w:pPr>
        <w:ind w:firstLine="420" w:firstLineChars="0"/>
      </w:pPr>
      <w:r>
        <w:rPr>
          <w:rFonts w:hint="eastAsia"/>
        </w:rPr>
        <w:t>大中型客车基本都是公交用途，其他用途的新能源大中型客车没有市场，或者市场逐步萎缩，这也是巨额补贴减少导致的新能源客车缺乏市场竞争力的体现。</w:t>
      </w:r>
    </w:p>
    <w:p>
      <w:pPr>
        <w:ind w:firstLine="420" w:firstLineChars="0"/>
      </w:pPr>
      <w:r>
        <w:rPr>
          <w:rFonts w:hint="eastAsia"/>
        </w:rPr>
        <w:t>轻客市场也是公交为主的特征，大部分电动轻型客车都是公交，其他非运营的公交的占比持续下降。</w:t>
      </w:r>
    </w:p>
    <w:p>
      <w:pPr>
        <w:ind w:firstLine="420" w:firstLineChars="0"/>
        <w:rPr>
          <w:b/>
          <w:color w:val="FF0000"/>
          <w:sz w:val="24"/>
        </w:rPr>
      </w:pPr>
      <w:r>
        <w:rPr>
          <w:b/>
          <w:color w:val="FF0000"/>
          <w:sz w:val="24"/>
        </w:rPr>
        <w:t>5</w:t>
      </w:r>
      <w:r>
        <w:rPr>
          <w:rFonts w:hint="eastAsia"/>
          <w:b/>
          <w:color w:val="FF0000"/>
          <w:sz w:val="24"/>
        </w:rPr>
        <w:t>、区域市场的表现在逐步改善</w:t>
      </w:r>
    </w:p>
    <w:p>
      <w:pPr>
        <w:ind w:firstLine="420" w:firstLineChars="0"/>
      </w:pPr>
      <w:r>
        <w:drawing>
          <wp:inline distT="0" distB="0" distL="0" distR="0">
            <wp:extent cx="4434840" cy="3688080"/>
            <wp:effectExtent l="0" t="0" r="3810" b="762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 name="图片 18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434840" cy="3688080"/>
                    </a:xfrm>
                    <a:prstGeom prst="rect">
                      <a:avLst/>
                    </a:prstGeom>
                    <a:noFill/>
                    <a:ln>
                      <a:noFill/>
                    </a:ln>
                  </pic:spPr>
                </pic:pic>
              </a:graphicData>
            </a:graphic>
          </wp:inline>
        </w:drawing>
      </w:r>
    </w:p>
    <w:p>
      <w:pPr>
        <w:ind w:firstLine="420" w:firstLineChars="0"/>
      </w:pPr>
      <w:r>
        <w:rPr>
          <w:rFonts w:hint="eastAsia"/>
        </w:rPr>
        <w:t>目前看大中城市的新能源车替代传统车趋势明显。尤其是在限购城市的客车销量是较强的，非限购大城市销量最大，，而在传统车中这样的大中城市是需求偏弱的。</w:t>
      </w:r>
    </w:p>
    <w:p>
      <w:pPr>
        <w:ind w:firstLine="420" w:firstLineChars="0"/>
      </w:pPr>
      <w:r>
        <w:rPr>
          <w:rFonts w:hint="eastAsia"/>
        </w:rPr>
        <w:t>随着环保压力和路权的促进，特大城市市场的6米以下电动车表现很好，尤其是5</w:t>
      </w:r>
      <w:r>
        <w:t>.9</w:t>
      </w:r>
      <w:r>
        <w:rPr>
          <w:rFonts w:hint="eastAsia"/>
        </w:rPr>
        <w:t>米的轻客类电动车表现良好。</w:t>
      </w:r>
    </w:p>
    <w:p>
      <w:pPr>
        <w:ind w:firstLine="420" w:firstLineChars="0"/>
      </w:pPr>
      <w:r>
        <w:rPr>
          <w:rFonts w:hint="eastAsia"/>
          <w:b/>
          <w:color w:val="FF0000"/>
          <w:sz w:val="24"/>
        </w:rPr>
        <w:t>6、插混与电动客车的需求差异</w:t>
      </w:r>
    </w:p>
    <w:p>
      <w:pPr>
        <w:ind w:firstLine="420" w:firstLineChars="0"/>
      </w:pPr>
      <w:r>
        <w:drawing>
          <wp:inline distT="0" distB="0" distL="0" distR="0">
            <wp:extent cx="4069080" cy="2636520"/>
            <wp:effectExtent l="0" t="0" r="7620" b="0"/>
            <wp:docPr id="1870" name="图片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 name="图片 18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4069080" cy="2636520"/>
                    </a:xfrm>
                    <a:prstGeom prst="rect">
                      <a:avLst/>
                    </a:prstGeom>
                    <a:noFill/>
                    <a:ln>
                      <a:noFill/>
                    </a:ln>
                  </pic:spPr>
                </pic:pic>
              </a:graphicData>
            </a:graphic>
          </wp:inline>
        </w:drawing>
      </w:r>
    </w:p>
    <w:p>
      <w:pPr>
        <w:ind w:firstLine="420" w:firstLineChars="0"/>
      </w:pPr>
      <w:r>
        <w:rPr>
          <w:rFonts w:hint="eastAsia"/>
        </w:rPr>
        <w:t>插混市场逐步萎缩，电动化日益能满足主流需求。</w:t>
      </w:r>
    </w:p>
    <w:p>
      <w:pPr>
        <w:ind w:firstLine="420" w:firstLineChars="0"/>
      </w:pPr>
      <w:r>
        <w:rPr>
          <w:rFonts w:hint="eastAsia"/>
        </w:rPr>
        <w:t>大客的市场差异化，插混主要是大中城市，且持续萎缩。</w:t>
      </w:r>
    </w:p>
    <w:p>
      <w:pPr>
        <w:ind w:firstLine="420" w:firstLineChars="0"/>
      </w:pPr>
      <w:r>
        <w:rPr>
          <w:rFonts w:hint="eastAsia"/>
        </w:rPr>
        <w:t>而纯电动中客是在中客和轻客市场。</w:t>
      </w:r>
    </w:p>
    <w:p>
      <w:pPr>
        <w:ind w:firstLine="420" w:firstLineChars="0"/>
      </w:pPr>
      <w:r>
        <w:rPr>
          <w:rFonts w:hint="eastAsia"/>
        </w:rPr>
        <w:t>常规燃料客车的需求主要是轻客和微客市场，大中客车市场的传统燃料车型总体偏低的趋势维持。</w:t>
      </w:r>
    </w:p>
    <w:p>
      <w:pPr>
        <w:ind w:firstLine="420" w:firstLineChars="0"/>
      </w:pPr>
      <w:r>
        <w:rPr>
          <w:b/>
          <w:color w:val="FF0000"/>
          <w:sz w:val="24"/>
        </w:rPr>
        <w:t>7</w:t>
      </w:r>
      <w:r>
        <w:rPr>
          <w:rFonts w:hint="eastAsia"/>
          <w:b/>
          <w:color w:val="FF0000"/>
          <w:sz w:val="24"/>
        </w:rPr>
        <w:t>、氢燃料车降温</w:t>
      </w:r>
    </w:p>
    <w:p>
      <w:pPr>
        <w:ind w:firstLine="420" w:firstLineChars="0"/>
      </w:pPr>
      <w:r>
        <w:drawing>
          <wp:inline distT="0" distB="0" distL="0" distR="0">
            <wp:extent cx="4221480" cy="2400300"/>
            <wp:effectExtent l="0" t="0" r="7620" b="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 name="图片 18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221480" cy="2400300"/>
                    </a:xfrm>
                    <a:prstGeom prst="rect">
                      <a:avLst/>
                    </a:prstGeom>
                    <a:noFill/>
                    <a:ln>
                      <a:noFill/>
                    </a:ln>
                  </pic:spPr>
                </pic:pic>
              </a:graphicData>
            </a:graphic>
          </wp:inline>
        </w:drawing>
      </w:r>
    </w:p>
    <w:p>
      <w:pPr>
        <w:ind w:firstLine="420" w:firstLineChars="0"/>
      </w:pPr>
      <w:r>
        <w:t>1</w:t>
      </w:r>
      <w:r>
        <w:rPr>
          <w:rFonts w:hint="eastAsia"/>
        </w:rPr>
        <w:t>月仅有广州有</w:t>
      </w:r>
      <w:r>
        <w:t>302</w:t>
      </w:r>
      <w:r>
        <w:rPr>
          <w:rFonts w:hint="eastAsia"/>
        </w:rPr>
        <w:t>台氢燃料客车，成都7</w:t>
      </w:r>
      <w:r>
        <w:t>5</w:t>
      </w:r>
      <w:r>
        <w:rPr>
          <w:rFonts w:hint="eastAsia"/>
        </w:rPr>
        <w:t>辆，2月是广州有1</w:t>
      </w:r>
      <w:r>
        <w:t>02</w:t>
      </w:r>
      <w:r>
        <w:rPr>
          <w:rFonts w:hint="eastAsia"/>
        </w:rPr>
        <w:t>台，</w:t>
      </w:r>
      <w:r>
        <w:t>3</w:t>
      </w:r>
      <w:r>
        <w:rPr>
          <w:rFonts w:hint="eastAsia"/>
        </w:rPr>
        <w:t>月是青岛有1</w:t>
      </w:r>
      <w:r>
        <w:t>0</w:t>
      </w:r>
      <w:r>
        <w:rPr>
          <w:rFonts w:hint="eastAsia"/>
        </w:rPr>
        <w:t>台，</w:t>
      </w:r>
      <w:r>
        <w:t>4</w:t>
      </w:r>
      <w:r>
        <w:rPr>
          <w:rFonts w:hint="eastAsia"/>
        </w:rPr>
        <w:t>月济南有3</w:t>
      </w:r>
      <w:r>
        <w:t>0</w:t>
      </w:r>
      <w:r>
        <w:rPr>
          <w:rFonts w:hint="eastAsia"/>
        </w:rPr>
        <w:t>台,</w:t>
      </w:r>
      <w:r>
        <w:t>6月</w:t>
      </w:r>
      <w:r>
        <w:rPr>
          <w:rFonts w:hint="eastAsia"/>
        </w:rPr>
        <w:t>的山东潍坊需求3</w:t>
      </w:r>
      <w:r>
        <w:t>8</w:t>
      </w:r>
      <w:r>
        <w:rPr>
          <w:rFonts w:hint="eastAsia"/>
        </w:rPr>
        <w:t>台也是不错的。这样的小批量也是很好的事情，氢燃料客车的虚火有点降温。</w:t>
      </w:r>
    </w:p>
    <w:p>
      <w:pPr>
        <w:widowControl/>
        <w:ind w:firstLine="422" w:firstLineChars="201"/>
        <w:jc w:val="left"/>
      </w:pPr>
    </w:p>
    <w:p>
      <w:pPr>
        <w:ind w:firstLine="424" w:firstLineChars="202"/>
        <w:rPr>
          <w:rFonts w:ascii="宋体" w:hAnsi="宋体"/>
          <w:color w:val="000000"/>
          <w:kern w:val="0"/>
          <w:szCs w:val="21"/>
        </w:rPr>
      </w:pPr>
    </w:p>
    <w:p>
      <w:pPr>
        <w:ind w:firstLine="424" w:firstLineChars="202"/>
        <w:rPr>
          <w:rFonts w:ascii="宋体" w:hAnsi="宋体"/>
          <w:color w:val="000000"/>
          <w:kern w:val="0"/>
          <w:szCs w:val="21"/>
        </w:rPr>
      </w:pPr>
    </w:p>
    <w:p>
      <w:pPr>
        <w:ind w:firstLine="424" w:firstLineChars="202"/>
        <w:rPr>
          <w:rFonts w:ascii="宋体" w:hAnsi="宋体"/>
          <w:color w:val="000000"/>
          <w:kern w:val="0"/>
          <w:szCs w:val="21"/>
        </w:rPr>
      </w:pPr>
    </w:p>
    <w:bookmarkEnd w:id="56"/>
    <w:sectPr>
      <w:footerReference r:id="rId3" w:type="default"/>
      <w:footerReference r:id="rId4" w:type="even"/>
      <w:pgSz w:w="11906" w:h="16838"/>
      <w:pgMar w:top="1440" w:right="680" w:bottom="1361" w:left="680" w:header="851" w:footer="992" w:gutter="0"/>
      <w:pgBorders w:offsetFrom="page">
        <w:top w:val="single" w:color="auto" w:sz="4" w:space="24"/>
        <w:left w:val="single" w:color="auto" w:sz="4" w:space="24"/>
        <w:bottom w:val="single" w:color="auto" w:sz="4" w:space="24"/>
        <w:right w:val="single" w:color="auto" w:sz="4" w:space="24"/>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framePr w:wrap="around" w:vAnchor="text" w:hAnchor="margin" w:xAlign="right" w:y="1"/>
      <w:rPr>
        <w:rStyle w:val="30"/>
      </w:rPr>
    </w:pPr>
    <w:r>
      <w:rPr>
        <w:rStyle w:val="30"/>
      </w:rPr>
      <w:fldChar w:fldCharType="begin"/>
    </w:r>
    <w:r>
      <w:rPr>
        <w:rStyle w:val="30"/>
      </w:rPr>
      <w:instrText xml:space="preserve">PAGE  </w:instrText>
    </w:r>
    <w:r>
      <w:rPr>
        <w:rStyle w:val="30"/>
      </w:rPr>
      <w:fldChar w:fldCharType="separate"/>
    </w:r>
    <w:r>
      <w:rPr>
        <w:rStyle w:val="30"/>
      </w:rPr>
      <w:t>1</w:t>
    </w:r>
    <w:r>
      <w:rPr>
        <w:rStyle w:val="30"/>
      </w:rPr>
      <w:fldChar w:fldCharType="end"/>
    </w:r>
  </w:p>
  <w:p>
    <w:pPr>
      <w:pStyle w:val="1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framePr w:wrap="around" w:vAnchor="text" w:hAnchor="margin" w:xAlign="right" w:y="1"/>
      <w:rPr>
        <w:rStyle w:val="30"/>
      </w:rPr>
    </w:pPr>
    <w:r>
      <w:rPr>
        <w:rStyle w:val="30"/>
      </w:rPr>
      <w:fldChar w:fldCharType="begin"/>
    </w:r>
    <w:r>
      <w:rPr>
        <w:rStyle w:val="30"/>
      </w:rPr>
      <w:instrText xml:space="preserve">PAGE  </w:instrText>
    </w:r>
    <w:r>
      <w:rPr>
        <w:rStyle w:val="30"/>
      </w:rPr>
      <w:fldChar w:fldCharType="end"/>
    </w:r>
  </w:p>
  <w:p>
    <w:pPr>
      <w:pStyle w:val="14"/>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34C88"/>
    <w:multiLevelType w:val="multilevel"/>
    <w:tmpl w:val="06034C88"/>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1">
    <w:nsid w:val="25F56A21"/>
    <w:multiLevelType w:val="multilevel"/>
    <w:tmpl w:val="25F56A21"/>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2">
    <w:nsid w:val="35C877A2"/>
    <w:multiLevelType w:val="multilevel"/>
    <w:tmpl w:val="35C877A2"/>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3">
    <w:nsid w:val="3DE23C16"/>
    <w:multiLevelType w:val="multilevel"/>
    <w:tmpl w:val="3DE23C16"/>
    <w:lvl w:ilvl="0" w:tentative="0">
      <w:start w:val="1"/>
      <w:numFmt w:val="decimal"/>
      <w:lvlText w:val="%1."/>
      <w:lvlJc w:val="left"/>
      <w:pPr>
        <w:ind w:left="703" w:hanging="420"/>
      </w:pPr>
    </w:lvl>
    <w:lvl w:ilvl="1" w:tentative="0">
      <w:start w:val="1"/>
      <w:numFmt w:val="lowerLetter"/>
      <w:lvlText w:val="%2)"/>
      <w:lvlJc w:val="left"/>
      <w:pPr>
        <w:ind w:left="1123" w:hanging="420"/>
      </w:pPr>
    </w:lvl>
    <w:lvl w:ilvl="2" w:tentative="0">
      <w:start w:val="1"/>
      <w:numFmt w:val="lowerRoman"/>
      <w:lvlText w:val="%3."/>
      <w:lvlJc w:val="right"/>
      <w:pPr>
        <w:ind w:left="1543" w:hanging="420"/>
      </w:pPr>
    </w:lvl>
    <w:lvl w:ilvl="3" w:tentative="0">
      <w:start w:val="1"/>
      <w:numFmt w:val="decimal"/>
      <w:lvlText w:val="%4."/>
      <w:lvlJc w:val="left"/>
      <w:pPr>
        <w:ind w:left="1963" w:hanging="420"/>
      </w:pPr>
    </w:lvl>
    <w:lvl w:ilvl="4" w:tentative="0">
      <w:start w:val="1"/>
      <w:numFmt w:val="lowerLetter"/>
      <w:lvlText w:val="%5)"/>
      <w:lvlJc w:val="left"/>
      <w:pPr>
        <w:ind w:left="2383" w:hanging="420"/>
      </w:pPr>
    </w:lvl>
    <w:lvl w:ilvl="5" w:tentative="0">
      <w:start w:val="1"/>
      <w:numFmt w:val="lowerRoman"/>
      <w:lvlText w:val="%6."/>
      <w:lvlJc w:val="right"/>
      <w:pPr>
        <w:ind w:left="2803" w:hanging="420"/>
      </w:pPr>
    </w:lvl>
    <w:lvl w:ilvl="6" w:tentative="0">
      <w:start w:val="1"/>
      <w:numFmt w:val="decimal"/>
      <w:lvlText w:val="%7."/>
      <w:lvlJc w:val="left"/>
      <w:pPr>
        <w:ind w:left="3223" w:hanging="420"/>
      </w:pPr>
    </w:lvl>
    <w:lvl w:ilvl="7" w:tentative="0">
      <w:start w:val="1"/>
      <w:numFmt w:val="lowerLetter"/>
      <w:lvlText w:val="%8)"/>
      <w:lvlJc w:val="left"/>
      <w:pPr>
        <w:ind w:left="3643" w:hanging="420"/>
      </w:pPr>
    </w:lvl>
    <w:lvl w:ilvl="8" w:tentative="0">
      <w:start w:val="1"/>
      <w:numFmt w:val="lowerRoman"/>
      <w:lvlText w:val="%9."/>
      <w:lvlJc w:val="right"/>
      <w:pPr>
        <w:ind w:left="4063" w:hanging="420"/>
      </w:pPr>
    </w:lvl>
  </w:abstractNum>
  <w:abstractNum w:abstractNumId="4">
    <w:nsid w:val="3E0B7004"/>
    <w:multiLevelType w:val="multilevel"/>
    <w:tmpl w:val="3E0B7004"/>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5">
    <w:nsid w:val="3F9B6BF6"/>
    <w:multiLevelType w:val="multilevel"/>
    <w:tmpl w:val="3F9B6BF6"/>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6">
    <w:nsid w:val="4E0F4D4C"/>
    <w:multiLevelType w:val="multilevel"/>
    <w:tmpl w:val="4E0F4D4C"/>
    <w:lvl w:ilvl="0" w:tentative="0">
      <w:start w:val="1"/>
      <w:numFmt w:val="decimal"/>
      <w:lvlText w:val="%1."/>
      <w:lvlJc w:val="left"/>
      <w:pPr>
        <w:ind w:left="904" w:hanging="420"/>
      </w:p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7">
    <w:nsid w:val="5794E7AB"/>
    <w:multiLevelType w:val="singleLevel"/>
    <w:tmpl w:val="5794E7AB"/>
    <w:lvl w:ilvl="0" w:tentative="0">
      <w:start w:val="1"/>
      <w:numFmt w:val="decimal"/>
      <w:lvlText w:val="%1."/>
      <w:lvlJc w:val="left"/>
      <w:pPr>
        <w:ind w:left="420" w:hanging="420"/>
      </w:pPr>
      <w:rPr>
        <w:rFonts w:hint="default"/>
      </w:rPr>
    </w:lvl>
  </w:abstractNum>
  <w:abstractNum w:abstractNumId="8">
    <w:nsid w:val="58190297"/>
    <w:multiLevelType w:val="singleLevel"/>
    <w:tmpl w:val="58190297"/>
    <w:lvl w:ilvl="0" w:tentative="0">
      <w:start w:val="1"/>
      <w:numFmt w:val="decimal"/>
      <w:lvlText w:val="%1."/>
      <w:lvlJc w:val="left"/>
      <w:pPr>
        <w:ind w:left="562" w:hanging="420"/>
      </w:pPr>
      <w:rPr>
        <w:rFonts w:hint="default"/>
      </w:rPr>
    </w:lvl>
  </w:abstractNum>
  <w:abstractNum w:abstractNumId="9">
    <w:nsid w:val="5CA03948"/>
    <w:multiLevelType w:val="multilevel"/>
    <w:tmpl w:val="5CA03948"/>
    <w:lvl w:ilvl="0" w:tentative="0">
      <w:start w:val="1"/>
      <w:numFmt w:val="bullet"/>
      <w:lvlText w:val=""/>
      <w:lvlJc w:val="left"/>
      <w:pPr>
        <w:ind w:left="420"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5EE831FD"/>
    <w:multiLevelType w:val="multilevel"/>
    <w:tmpl w:val="5EE831F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745B12F8"/>
    <w:multiLevelType w:val="multilevel"/>
    <w:tmpl w:val="745B12F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42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75545623"/>
    <w:multiLevelType w:val="multilevel"/>
    <w:tmpl w:val="75545623"/>
    <w:lvl w:ilvl="0" w:tentative="0">
      <w:start w:val="1"/>
      <w:numFmt w:val="decimal"/>
      <w:lvlText w:val="%1、"/>
      <w:lvlJc w:val="left"/>
      <w:pPr>
        <w:ind w:left="360" w:hanging="360"/>
      </w:pPr>
      <w:rPr>
        <w:rFonts w:hint="default"/>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3">
    <w:nsid w:val="773802F5"/>
    <w:multiLevelType w:val="multilevel"/>
    <w:tmpl w:val="773802F5"/>
    <w:lvl w:ilvl="0" w:tentative="0">
      <w:start w:val="1"/>
      <w:numFmt w:val="upp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
  </w:num>
  <w:num w:numId="2">
    <w:abstractNumId w:val="3"/>
  </w:num>
  <w:num w:numId="3">
    <w:abstractNumId w:val="2"/>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8"/>
  </w:num>
  <w:num w:numId="9">
    <w:abstractNumId w:val="5"/>
  </w:num>
  <w:num w:numId="10">
    <w:abstractNumId w:val="13"/>
  </w:num>
  <w:num w:numId="11">
    <w:abstractNumId w:val="0"/>
  </w:num>
  <w:num w:numId="12">
    <w:abstractNumId w:val="1"/>
  </w:num>
  <w:num w:numId="13">
    <w:abstractNumId w:val="6"/>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C2B"/>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0C7"/>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3EF"/>
    <w:rsid w:val="00034A70"/>
    <w:rsid w:val="00034B75"/>
    <w:rsid w:val="00034D06"/>
    <w:rsid w:val="00034E0D"/>
    <w:rsid w:val="00035343"/>
    <w:rsid w:val="0003548B"/>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666"/>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4F7B"/>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6F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DFE"/>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19C"/>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0D28"/>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1FA"/>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D3D"/>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2F"/>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8CF"/>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25E"/>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6A6"/>
    <w:rsid w:val="002648A8"/>
    <w:rsid w:val="00264B83"/>
    <w:rsid w:val="00264E84"/>
    <w:rsid w:val="002652DA"/>
    <w:rsid w:val="002657C8"/>
    <w:rsid w:val="0026583C"/>
    <w:rsid w:val="002663FA"/>
    <w:rsid w:val="00266634"/>
    <w:rsid w:val="00266693"/>
    <w:rsid w:val="00266891"/>
    <w:rsid w:val="00266A05"/>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C7F"/>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2A4"/>
    <w:rsid w:val="00305331"/>
    <w:rsid w:val="0030550E"/>
    <w:rsid w:val="00305522"/>
    <w:rsid w:val="003058E5"/>
    <w:rsid w:val="00305A74"/>
    <w:rsid w:val="00305B23"/>
    <w:rsid w:val="00305BB9"/>
    <w:rsid w:val="00305F57"/>
    <w:rsid w:val="00305FA8"/>
    <w:rsid w:val="00306049"/>
    <w:rsid w:val="003061DD"/>
    <w:rsid w:val="003061F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93F"/>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90E"/>
    <w:rsid w:val="00374AA9"/>
    <w:rsid w:val="00374BDD"/>
    <w:rsid w:val="00374E9A"/>
    <w:rsid w:val="00375164"/>
    <w:rsid w:val="003751EC"/>
    <w:rsid w:val="0037529A"/>
    <w:rsid w:val="003752E2"/>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4EB"/>
    <w:rsid w:val="00380534"/>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BAD"/>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CB3"/>
    <w:rsid w:val="003A74FE"/>
    <w:rsid w:val="003A761B"/>
    <w:rsid w:val="003A786C"/>
    <w:rsid w:val="003A799E"/>
    <w:rsid w:val="003A7A5F"/>
    <w:rsid w:val="003A7B5D"/>
    <w:rsid w:val="003A7C1B"/>
    <w:rsid w:val="003A7D79"/>
    <w:rsid w:val="003B01C6"/>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0A"/>
    <w:rsid w:val="004134DC"/>
    <w:rsid w:val="004136C5"/>
    <w:rsid w:val="0041372E"/>
    <w:rsid w:val="004138EF"/>
    <w:rsid w:val="00413A8F"/>
    <w:rsid w:val="00413E85"/>
    <w:rsid w:val="00414671"/>
    <w:rsid w:val="00414A48"/>
    <w:rsid w:val="00414BA1"/>
    <w:rsid w:val="00414C63"/>
    <w:rsid w:val="00414DAA"/>
    <w:rsid w:val="00414F8D"/>
    <w:rsid w:val="004150EE"/>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6CD"/>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797"/>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41"/>
    <w:rsid w:val="004774EC"/>
    <w:rsid w:val="00477971"/>
    <w:rsid w:val="00477DA6"/>
    <w:rsid w:val="00477F8C"/>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92C"/>
    <w:rsid w:val="00483A24"/>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9D6"/>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4FA"/>
    <w:rsid w:val="004C35AB"/>
    <w:rsid w:val="004C35F8"/>
    <w:rsid w:val="004C3649"/>
    <w:rsid w:val="004C45BC"/>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596"/>
    <w:rsid w:val="005416A5"/>
    <w:rsid w:val="005416D8"/>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6A0"/>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78D"/>
    <w:rsid w:val="00592856"/>
    <w:rsid w:val="00592A80"/>
    <w:rsid w:val="00592B32"/>
    <w:rsid w:val="00592BAA"/>
    <w:rsid w:val="00593095"/>
    <w:rsid w:val="005930DF"/>
    <w:rsid w:val="005931A9"/>
    <w:rsid w:val="00593364"/>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EE2"/>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87A"/>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89"/>
    <w:rsid w:val="00625A85"/>
    <w:rsid w:val="00625F14"/>
    <w:rsid w:val="00625FD8"/>
    <w:rsid w:val="00626414"/>
    <w:rsid w:val="0062645C"/>
    <w:rsid w:val="00626674"/>
    <w:rsid w:val="006266D8"/>
    <w:rsid w:val="00626828"/>
    <w:rsid w:val="00626993"/>
    <w:rsid w:val="00626C8F"/>
    <w:rsid w:val="00626D30"/>
    <w:rsid w:val="00626E35"/>
    <w:rsid w:val="00626E88"/>
    <w:rsid w:val="00626F39"/>
    <w:rsid w:val="0062704D"/>
    <w:rsid w:val="006270F9"/>
    <w:rsid w:val="00627100"/>
    <w:rsid w:val="00627714"/>
    <w:rsid w:val="006278B6"/>
    <w:rsid w:val="00627F27"/>
    <w:rsid w:val="00627F6F"/>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18B"/>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1D7"/>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05"/>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69F"/>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2E0"/>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50B"/>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141"/>
    <w:rsid w:val="00876827"/>
    <w:rsid w:val="00876C28"/>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E29"/>
    <w:rsid w:val="008B1F65"/>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B7C"/>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2970"/>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C"/>
    <w:rsid w:val="009B4811"/>
    <w:rsid w:val="009B4980"/>
    <w:rsid w:val="009B4A14"/>
    <w:rsid w:val="009B4D43"/>
    <w:rsid w:val="009B4D48"/>
    <w:rsid w:val="009B4DB4"/>
    <w:rsid w:val="009B4DD0"/>
    <w:rsid w:val="009B5042"/>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4443"/>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4"/>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6EB5"/>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80"/>
    <w:rsid w:val="00AA73AF"/>
    <w:rsid w:val="00AA779C"/>
    <w:rsid w:val="00AA78E9"/>
    <w:rsid w:val="00AA7A26"/>
    <w:rsid w:val="00AA7BCF"/>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6E8"/>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737"/>
    <w:rsid w:val="00AF2B2D"/>
    <w:rsid w:val="00AF2F24"/>
    <w:rsid w:val="00AF3087"/>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98E"/>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6DB"/>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C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2E4"/>
    <w:rsid w:val="00C234A1"/>
    <w:rsid w:val="00C234D4"/>
    <w:rsid w:val="00C2362C"/>
    <w:rsid w:val="00C23DC7"/>
    <w:rsid w:val="00C23E80"/>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0E"/>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AE8"/>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D8A"/>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DE8"/>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B99"/>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1D"/>
    <w:rsid w:val="00D30631"/>
    <w:rsid w:val="00D3078D"/>
    <w:rsid w:val="00D307C5"/>
    <w:rsid w:val="00D3096E"/>
    <w:rsid w:val="00D30B34"/>
    <w:rsid w:val="00D30DD3"/>
    <w:rsid w:val="00D30E49"/>
    <w:rsid w:val="00D31438"/>
    <w:rsid w:val="00D31981"/>
    <w:rsid w:val="00D319F9"/>
    <w:rsid w:val="00D31C33"/>
    <w:rsid w:val="00D31EE7"/>
    <w:rsid w:val="00D31F8D"/>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1B6"/>
    <w:rsid w:val="00D573D8"/>
    <w:rsid w:val="00D576FB"/>
    <w:rsid w:val="00D5789C"/>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5"/>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66C"/>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149"/>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005"/>
    <w:rsid w:val="00E0113A"/>
    <w:rsid w:val="00E0140D"/>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B0F"/>
    <w:rsid w:val="00F60B6F"/>
    <w:rsid w:val="00F60C15"/>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9C"/>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06"/>
    <w:rsid w:val="00F9661C"/>
    <w:rsid w:val="00F967A6"/>
    <w:rsid w:val="00F96B5F"/>
    <w:rsid w:val="00F96B9A"/>
    <w:rsid w:val="00F96B9C"/>
    <w:rsid w:val="00F96CEB"/>
    <w:rsid w:val="00F96E90"/>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701"/>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 w:val="26725A9B"/>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iPriority="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nhideWhenUsed="0" w:uiPriority="0" w:semiHidden="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nhideWhenUsed="0" w:uiPriority="0" w:semiHidden="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nhideWhenUsed="0" w:uiPriority="0" w:semiHidden="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3"/>
    <w:qFormat/>
    <w:uiPriority w:val="0"/>
    <w:pPr>
      <w:keepNext/>
      <w:keepLines/>
      <w:spacing w:before="260" w:after="260" w:line="416" w:lineRule="auto"/>
      <w:outlineLvl w:val="1"/>
    </w:pPr>
    <w:rPr>
      <w:rFonts w:ascii="Cambria" w:hAnsi="Cambria"/>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42"/>
    <w:semiHidden/>
    <w:unhideWhenUsed/>
    <w:qFormat/>
    <w:uiPriority w:val="0"/>
    <w:pPr>
      <w:keepNext/>
      <w:keepLines/>
      <w:spacing w:before="280" w:after="290" w:line="376" w:lineRule="auto"/>
      <w:outlineLvl w:val="3"/>
    </w:pPr>
    <w:rPr>
      <w:rFonts w:ascii="Cambria" w:hAnsi="Cambria"/>
      <w:b/>
      <w:bCs/>
      <w:sz w:val="28"/>
      <w:szCs w:val="28"/>
    </w:rPr>
  </w:style>
  <w:style w:type="character" w:default="1" w:styleId="28">
    <w:name w:val="Default Paragraph Font"/>
    <w:semiHidden/>
    <w:unhideWhenUsed/>
    <w:qFormat/>
    <w:uiPriority w:val="1"/>
  </w:style>
  <w:style w:type="table" w:default="1" w:styleId="23">
    <w:name w:val="Normal Table"/>
    <w:semiHidden/>
    <w:unhideWhenUsed/>
    <w:uiPriority w:val="99"/>
    <w:tblPr>
      <w:tblCellMar>
        <w:top w:w="0" w:type="dxa"/>
        <w:left w:w="108" w:type="dxa"/>
        <w:bottom w:w="0" w:type="dxa"/>
        <w:right w:w="108" w:type="dxa"/>
      </w:tblCellMar>
    </w:tblPr>
  </w:style>
  <w:style w:type="paragraph" w:styleId="6">
    <w:name w:val="toc 7"/>
    <w:basedOn w:val="1"/>
    <w:next w:val="1"/>
    <w:unhideWhenUsed/>
    <w:uiPriority w:val="39"/>
    <w:pPr>
      <w:ind w:left="2520" w:leftChars="1200"/>
    </w:pPr>
    <w:rPr>
      <w:rFonts w:ascii="Calibri" w:hAnsi="Calibri"/>
      <w:szCs w:val="22"/>
    </w:rPr>
  </w:style>
  <w:style w:type="paragraph" w:styleId="7">
    <w:name w:val="caption"/>
    <w:basedOn w:val="1"/>
    <w:next w:val="1"/>
    <w:qFormat/>
    <w:uiPriority w:val="0"/>
    <w:rPr>
      <w:rFonts w:ascii="Arial" w:hAnsi="Arial" w:eastAsia="黑体" w:cs="Arial"/>
      <w:sz w:val="20"/>
      <w:szCs w:val="20"/>
    </w:rPr>
  </w:style>
  <w:style w:type="paragraph" w:styleId="8">
    <w:name w:val="annotation text"/>
    <w:basedOn w:val="1"/>
    <w:link w:val="43"/>
    <w:uiPriority w:val="0"/>
    <w:pPr>
      <w:jc w:val="left"/>
    </w:pPr>
  </w:style>
  <w:style w:type="paragraph" w:styleId="9">
    <w:name w:val="toc 5"/>
    <w:basedOn w:val="1"/>
    <w:next w:val="1"/>
    <w:unhideWhenUsed/>
    <w:uiPriority w:val="39"/>
    <w:pPr>
      <w:ind w:left="1680" w:leftChars="800"/>
    </w:pPr>
    <w:rPr>
      <w:rFonts w:ascii="Calibri" w:hAnsi="Calibri"/>
      <w:szCs w:val="22"/>
    </w:rPr>
  </w:style>
  <w:style w:type="paragraph" w:styleId="10">
    <w:name w:val="toc 3"/>
    <w:basedOn w:val="1"/>
    <w:next w:val="1"/>
    <w:qFormat/>
    <w:uiPriority w:val="39"/>
    <w:pPr>
      <w:ind w:left="840" w:leftChars="400"/>
    </w:pPr>
  </w:style>
  <w:style w:type="paragraph" w:styleId="11">
    <w:name w:val="toc 8"/>
    <w:basedOn w:val="1"/>
    <w:next w:val="1"/>
    <w:unhideWhenUsed/>
    <w:uiPriority w:val="39"/>
    <w:pPr>
      <w:ind w:left="2940" w:leftChars="1400"/>
    </w:pPr>
    <w:rPr>
      <w:rFonts w:ascii="Calibri" w:hAnsi="Calibri"/>
      <w:szCs w:val="22"/>
    </w:rPr>
  </w:style>
  <w:style w:type="paragraph" w:styleId="12">
    <w:name w:val="Date"/>
    <w:basedOn w:val="1"/>
    <w:next w:val="1"/>
    <w:link w:val="41"/>
    <w:uiPriority w:val="0"/>
    <w:pPr>
      <w:ind w:left="100" w:leftChars="2500"/>
    </w:pPr>
  </w:style>
  <w:style w:type="paragraph" w:styleId="13">
    <w:name w:val="Balloon Text"/>
    <w:basedOn w:val="1"/>
    <w:link w:val="38"/>
    <w:uiPriority w:val="0"/>
    <w:rPr>
      <w:sz w:val="18"/>
      <w:szCs w:val="18"/>
    </w:rPr>
  </w:style>
  <w:style w:type="paragraph" w:styleId="14">
    <w:name w:val="footer"/>
    <w:basedOn w:val="1"/>
    <w:link w:val="40"/>
    <w:uiPriority w:val="0"/>
    <w:pPr>
      <w:tabs>
        <w:tab w:val="center" w:pos="4153"/>
        <w:tab w:val="right" w:pos="8306"/>
      </w:tabs>
      <w:snapToGrid w:val="0"/>
      <w:jc w:val="left"/>
    </w:pPr>
    <w:rPr>
      <w:sz w:val="18"/>
      <w:szCs w:val="18"/>
    </w:rPr>
  </w:style>
  <w:style w:type="paragraph" w:styleId="15">
    <w:name w:val="header"/>
    <w:basedOn w:val="1"/>
    <w:link w:val="39"/>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39"/>
  </w:style>
  <w:style w:type="paragraph" w:styleId="17">
    <w:name w:val="toc 4"/>
    <w:basedOn w:val="1"/>
    <w:next w:val="1"/>
    <w:unhideWhenUsed/>
    <w:uiPriority w:val="39"/>
    <w:pPr>
      <w:ind w:left="1260" w:leftChars="600"/>
    </w:pPr>
    <w:rPr>
      <w:rFonts w:ascii="Calibri" w:hAnsi="Calibri"/>
      <w:szCs w:val="22"/>
    </w:rPr>
  </w:style>
  <w:style w:type="paragraph" w:styleId="18">
    <w:name w:val="toc 6"/>
    <w:basedOn w:val="1"/>
    <w:next w:val="1"/>
    <w:unhideWhenUsed/>
    <w:uiPriority w:val="39"/>
    <w:pPr>
      <w:ind w:left="2100" w:leftChars="1000"/>
    </w:pPr>
    <w:rPr>
      <w:rFonts w:ascii="Calibri" w:hAnsi="Calibri"/>
      <w:szCs w:val="22"/>
    </w:rPr>
  </w:style>
  <w:style w:type="paragraph" w:styleId="19">
    <w:name w:val="toc 2"/>
    <w:basedOn w:val="1"/>
    <w:next w:val="1"/>
    <w:qFormat/>
    <w:uiPriority w:val="39"/>
    <w:pPr>
      <w:ind w:left="420" w:leftChars="200"/>
    </w:pPr>
  </w:style>
  <w:style w:type="paragraph" w:styleId="20">
    <w:name w:val="toc 9"/>
    <w:basedOn w:val="1"/>
    <w:next w:val="1"/>
    <w:unhideWhenUsed/>
    <w:uiPriority w:val="39"/>
    <w:pPr>
      <w:ind w:left="3360" w:leftChars="1600"/>
    </w:pPr>
    <w:rPr>
      <w:rFonts w:ascii="Calibri" w:hAnsi="Calibri"/>
      <w:szCs w:val="22"/>
    </w:rPr>
  </w:style>
  <w:style w:type="paragraph" w:styleId="21">
    <w:name w:val="Normal (Web)"/>
    <w:basedOn w:val="1"/>
    <w:unhideWhenUsed/>
    <w:uiPriority w:val="99"/>
    <w:pPr>
      <w:widowControl/>
      <w:spacing w:before="100" w:beforeAutospacing="1" w:after="100" w:afterAutospacing="1"/>
      <w:jc w:val="left"/>
    </w:pPr>
    <w:rPr>
      <w:rFonts w:ascii="宋体" w:hAnsi="宋体" w:cs="宋体"/>
      <w:kern w:val="0"/>
      <w:sz w:val="24"/>
    </w:rPr>
  </w:style>
  <w:style w:type="paragraph" w:styleId="22">
    <w:name w:val="annotation subject"/>
    <w:basedOn w:val="8"/>
    <w:next w:val="8"/>
    <w:link w:val="44"/>
    <w:uiPriority w:val="0"/>
    <w:rPr>
      <w:b/>
      <w:bCs/>
    </w:rPr>
  </w:style>
  <w:style w:type="table" w:styleId="24">
    <w:name w:val="Table Grid"/>
    <w:basedOn w:val="23"/>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5">
    <w:name w:val="Table Colorful 3"/>
    <w:basedOn w:val="23"/>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il"/>
          <w:tr2bl w:val="nil"/>
        </w:tcBorders>
        <w:shd w:val="solid" w:color="008080" w:fill="FFFFFF"/>
      </w:tcPr>
    </w:tblStylePr>
    <w:tblStylePr w:type="firstCol">
      <w:tblPr/>
      <w:tcPr>
        <w:tcBorders>
          <w:left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26">
    <w:name w:val="Table Elegant"/>
    <w:basedOn w:val="23"/>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27">
    <w:name w:val="Table Classic 1"/>
    <w:basedOn w:val="23"/>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29">
    <w:name w:val="Strong"/>
    <w:qFormat/>
    <w:uiPriority w:val="22"/>
    <w:rPr>
      <w:b/>
      <w:bCs/>
    </w:rPr>
  </w:style>
  <w:style w:type="character" w:styleId="30">
    <w:name w:val="page number"/>
    <w:basedOn w:val="28"/>
    <w:uiPriority w:val="0"/>
  </w:style>
  <w:style w:type="character" w:styleId="31">
    <w:name w:val="Hyperlink"/>
    <w:uiPriority w:val="99"/>
    <w:rPr>
      <w:color w:val="0000FF"/>
      <w:u w:val="single"/>
    </w:rPr>
  </w:style>
  <w:style w:type="character" w:styleId="32">
    <w:name w:val="annotation reference"/>
    <w:basedOn w:val="28"/>
    <w:uiPriority w:val="0"/>
    <w:rPr>
      <w:sz w:val="21"/>
      <w:szCs w:val="21"/>
    </w:rPr>
  </w:style>
  <w:style w:type="character" w:customStyle="1" w:styleId="33">
    <w:name w:val="标题 2 字符"/>
    <w:link w:val="3"/>
    <w:uiPriority w:val="0"/>
    <w:rPr>
      <w:rFonts w:ascii="Cambria" w:hAnsi="Cambria" w:eastAsia="宋体" w:cs="Times New Roman"/>
      <w:b/>
      <w:bCs/>
      <w:kern w:val="2"/>
      <w:sz w:val="32"/>
      <w:szCs w:val="32"/>
    </w:rPr>
  </w:style>
  <w:style w:type="paragraph" w:styleId="34">
    <w:name w:val="List Paragraph"/>
    <w:basedOn w:val="1"/>
    <w:qFormat/>
    <w:uiPriority w:val="34"/>
    <w:pPr>
      <w:ind w:firstLine="420" w:firstLineChars="200"/>
    </w:pPr>
  </w:style>
  <w:style w:type="character" w:customStyle="1" w:styleId="35">
    <w:name w:val="标题 1 字符"/>
    <w:link w:val="2"/>
    <w:uiPriority w:val="0"/>
    <w:rPr>
      <w:b/>
      <w:bCs/>
      <w:kern w:val="44"/>
      <w:sz w:val="44"/>
      <w:szCs w:val="44"/>
    </w:rPr>
  </w:style>
  <w:style w:type="character" w:customStyle="1" w:styleId="36">
    <w:name w:val="标题 3 字符"/>
    <w:link w:val="4"/>
    <w:uiPriority w:val="0"/>
    <w:rPr>
      <w:b/>
      <w:bCs/>
      <w:kern w:val="2"/>
      <w:sz w:val="32"/>
      <w:szCs w:val="32"/>
    </w:rPr>
  </w:style>
  <w:style w:type="paragraph" w:customStyle="1" w:styleId="37">
    <w:name w:val="TOC Heading"/>
    <w:basedOn w:val="2"/>
    <w:next w:val="1"/>
    <w:qFormat/>
    <w:uiPriority w:val="39"/>
    <w:pPr>
      <w:widowControl/>
      <w:spacing w:before="480" w:after="0" w:line="276" w:lineRule="auto"/>
      <w:jc w:val="left"/>
      <w:outlineLvl w:val="9"/>
    </w:pPr>
    <w:rPr>
      <w:rFonts w:ascii="Cambria" w:hAnsi="Cambria"/>
      <w:color w:val="365F91"/>
      <w:kern w:val="0"/>
      <w:sz w:val="28"/>
      <w:szCs w:val="28"/>
    </w:rPr>
  </w:style>
  <w:style w:type="character" w:customStyle="1" w:styleId="38">
    <w:name w:val="批注框文本 字符"/>
    <w:link w:val="13"/>
    <w:uiPriority w:val="0"/>
    <w:rPr>
      <w:kern w:val="2"/>
      <w:sz w:val="18"/>
      <w:szCs w:val="18"/>
    </w:rPr>
  </w:style>
  <w:style w:type="character" w:customStyle="1" w:styleId="39">
    <w:name w:val="页眉 字符"/>
    <w:link w:val="15"/>
    <w:qFormat/>
    <w:uiPriority w:val="0"/>
    <w:rPr>
      <w:kern w:val="2"/>
      <w:sz w:val="18"/>
      <w:szCs w:val="18"/>
    </w:rPr>
  </w:style>
  <w:style w:type="character" w:customStyle="1" w:styleId="40">
    <w:name w:val="页脚 字符"/>
    <w:link w:val="14"/>
    <w:uiPriority w:val="0"/>
    <w:rPr>
      <w:kern w:val="2"/>
      <w:sz w:val="18"/>
      <w:szCs w:val="18"/>
    </w:rPr>
  </w:style>
  <w:style w:type="character" w:customStyle="1" w:styleId="41">
    <w:name w:val="日期 字符"/>
    <w:link w:val="12"/>
    <w:uiPriority w:val="0"/>
    <w:rPr>
      <w:kern w:val="2"/>
      <w:sz w:val="21"/>
      <w:szCs w:val="24"/>
    </w:rPr>
  </w:style>
  <w:style w:type="character" w:customStyle="1" w:styleId="42">
    <w:name w:val="标题 4 字符"/>
    <w:link w:val="5"/>
    <w:semiHidden/>
    <w:uiPriority w:val="0"/>
    <w:rPr>
      <w:rFonts w:ascii="Cambria" w:hAnsi="Cambria" w:eastAsia="宋体" w:cs="Times New Roman"/>
      <w:b/>
      <w:bCs/>
      <w:kern w:val="2"/>
      <w:sz w:val="28"/>
      <w:szCs w:val="28"/>
    </w:rPr>
  </w:style>
  <w:style w:type="character" w:customStyle="1" w:styleId="43">
    <w:name w:val="批注文字 字符"/>
    <w:basedOn w:val="28"/>
    <w:link w:val="8"/>
    <w:uiPriority w:val="0"/>
    <w:rPr>
      <w:kern w:val="2"/>
      <w:sz w:val="21"/>
      <w:szCs w:val="24"/>
    </w:rPr>
  </w:style>
  <w:style w:type="character" w:customStyle="1" w:styleId="44">
    <w:name w:val="批注主题 字符"/>
    <w:basedOn w:val="43"/>
    <w:link w:val="22"/>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4" Type="http://schemas.openxmlformats.org/officeDocument/2006/relationships/fontTable" Target="fontTable.xml"/><Relationship Id="rId83" Type="http://schemas.openxmlformats.org/officeDocument/2006/relationships/customXml" Target="../customXml/item2.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75.emf"/><Relationship Id="rId8" Type="http://schemas.openxmlformats.org/officeDocument/2006/relationships/image" Target="media/image3.png"/><Relationship Id="rId79" Type="http://schemas.openxmlformats.org/officeDocument/2006/relationships/image" Target="media/image74.emf"/><Relationship Id="rId78" Type="http://schemas.openxmlformats.org/officeDocument/2006/relationships/image" Target="media/image73.emf"/><Relationship Id="rId77" Type="http://schemas.openxmlformats.org/officeDocument/2006/relationships/image" Target="media/image72.emf"/><Relationship Id="rId76" Type="http://schemas.openxmlformats.org/officeDocument/2006/relationships/image" Target="media/image71.emf"/><Relationship Id="rId75" Type="http://schemas.openxmlformats.org/officeDocument/2006/relationships/image" Target="media/image70.png"/><Relationship Id="rId74" Type="http://schemas.openxmlformats.org/officeDocument/2006/relationships/image" Target="media/image69.emf"/><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emf"/><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emf"/><Relationship Id="rId64" Type="http://schemas.openxmlformats.org/officeDocument/2006/relationships/image" Target="media/image59.emf"/><Relationship Id="rId63" Type="http://schemas.openxmlformats.org/officeDocument/2006/relationships/image" Target="media/image58.emf"/><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emf"/><Relationship Id="rId6" Type="http://schemas.openxmlformats.org/officeDocument/2006/relationships/image" Target="media/image1.png"/><Relationship Id="rId59" Type="http://schemas.openxmlformats.org/officeDocument/2006/relationships/image" Target="media/image54.emf"/><Relationship Id="rId58" Type="http://schemas.openxmlformats.org/officeDocument/2006/relationships/image" Target="media/image53.emf"/><Relationship Id="rId57" Type="http://schemas.openxmlformats.org/officeDocument/2006/relationships/image" Target="media/image52.emf"/><Relationship Id="rId56" Type="http://schemas.openxmlformats.org/officeDocument/2006/relationships/image" Target="media/image51.emf"/><Relationship Id="rId55" Type="http://schemas.openxmlformats.org/officeDocument/2006/relationships/image" Target="media/image50.emf"/><Relationship Id="rId54" Type="http://schemas.openxmlformats.org/officeDocument/2006/relationships/image" Target="media/image49.emf"/><Relationship Id="rId53" Type="http://schemas.openxmlformats.org/officeDocument/2006/relationships/image" Target="media/image48.emf"/><Relationship Id="rId52" Type="http://schemas.openxmlformats.org/officeDocument/2006/relationships/image" Target="media/image47.emf"/><Relationship Id="rId51" Type="http://schemas.openxmlformats.org/officeDocument/2006/relationships/image" Target="media/image46.emf"/><Relationship Id="rId50" Type="http://schemas.openxmlformats.org/officeDocument/2006/relationships/image" Target="media/image45.emf"/><Relationship Id="rId5" Type="http://schemas.openxmlformats.org/officeDocument/2006/relationships/theme" Target="theme/theme1.xml"/><Relationship Id="rId49" Type="http://schemas.openxmlformats.org/officeDocument/2006/relationships/image" Target="media/image44.emf"/><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emf"/><Relationship Id="rId45" Type="http://schemas.openxmlformats.org/officeDocument/2006/relationships/image" Target="media/image40.png"/><Relationship Id="rId44" Type="http://schemas.openxmlformats.org/officeDocument/2006/relationships/image" Target="media/image39.emf"/><Relationship Id="rId43" Type="http://schemas.openxmlformats.org/officeDocument/2006/relationships/image" Target="media/image38.png"/><Relationship Id="rId42" Type="http://schemas.openxmlformats.org/officeDocument/2006/relationships/image" Target="media/image37.emf"/><Relationship Id="rId41" Type="http://schemas.openxmlformats.org/officeDocument/2006/relationships/image" Target="media/image36.png"/><Relationship Id="rId40" Type="http://schemas.openxmlformats.org/officeDocument/2006/relationships/image" Target="media/image35.emf"/><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emf"/><Relationship Id="rId37" Type="http://schemas.openxmlformats.org/officeDocument/2006/relationships/image" Target="media/image32.png"/><Relationship Id="rId36" Type="http://schemas.openxmlformats.org/officeDocument/2006/relationships/image" Target="media/image31.emf"/><Relationship Id="rId35" Type="http://schemas.openxmlformats.org/officeDocument/2006/relationships/image" Target="media/image30.png"/><Relationship Id="rId34" Type="http://schemas.openxmlformats.org/officeDocument/2006/relationships/image" Target="media/image29.emf"/><Relationship Id="rId33" Type="http://schemas.openxmlformats.org/officeDocument/2006/relationships/image" Target="media/image28.png"/><Relationship Id="rId32" Type="http://schemas.openxmlformats.org/officeDocument/2006/relationships/image" Target="media/image27.emf"/><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emf"/><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emf"/><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emf"/><Relationship Id="rId18" Type="http://schemas.openxmlformats.org/officeDocument/2006/relationships/image" Target="media/image13.emf"/><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emf"/><Relationship Id="rId14" Type="http://schemas.openxmlformats.org/officeDocument/2006/relationships/image" Target="media/image9.emf"/><Relationship Id="rId13" Type="http://schemas.openxmlformats.org/officeDocument/2006/relationships/image" Target="media/image8.png"/><Relationship Id="rId12" Type="http://schemas.openxmlformats.org/officeDocument/2006/relationships/image" Target="media/image7.emf"/><Relationship Id="rId11" Type="http://schemas.openxmlformats.org/officeDocument/2006/relationships/image" Target="media/image6.e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E29325-497F-46C6-861C-229001D21C92}">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Pages>
  <Words>2247</Words>
  <Characters>12814</Characters>
  <Lines>106</Lines>
  <Paragraphs>30</Paragraphs>
  <TotalTime>1676</TotalTime>
  <ScaleCrop>false</ScaleCrop>
  <LinksUpToDate>false</LinksUpToDate>
  <CharactersWithSpaces>15031</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2020-06-29T17:03:00Z</dcterms:created>
  <dc:creator>User</dc:creator>
  <cp:lastModifiedBy>亮亮</cp:lastModifiedBy>
  <cp:lastPrinted>2015-03-04T14:09:00Z</cp:lastPrinted>
  <dcterms:modified xsi:type="dcterms:W3CDTF">2020-07-29T05:08:39Z</dcterms:modified>
  <dc:title>07年1-10月汽车市场分析报告</dc:title>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