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437CA" w14:textId="6AC60229" w:rsidR="00914440" w:rsidRDefault="00914440" w:rsidP="00914440">
      <w:pPr>
        <w:jc w:val="center"/>
        <w:outlineLvl w:val="0"/>
        <w:rPr>
          <w:rFonts w:ascii="黑体" w:eastAsia="黑体" w:cs="黑体"/>
          <w:sz w:val="24"/>
        </w:rPr>
      </w:pPr>
      <w:bookmarkStart w:id="0" w:name="_Toc308180609"/>
      <w:r w:rsidRPr="002009FE">
        <w:rPr>
          <w:rFonts w:ascii="黑体" w:eastAsia="黑体" w:cs="黑体" w:hint="eastAsia"/>
          <w:sz w:val="24"/>
        </w:rPr>
        <w:t>车市扫描</w:t>
      </w:r>
      <w:r>
        <w:rPr>
          <w:rFonts w:ascii="黑体" w:eastAsia="黑体" w:cs="黑体"/>
          <w:sz w:val="24"/>
        </w:rPr>
        <w:t>-2021</w:t>
      </w:r>
      <w:r>
        <w:rPr>
          <w:rFonts w:ascii="黑体" w:eastAsia="黑体" w:cs="黑体" w:hint="eastAsia"/>
          <w:sz w:val="24"/>
        </w:rPr>
        <w:t>年</w:t>
      </w:r>
      <w:r>
        <w:rPr>
          <w:rFonts w:ascii="黑体" w:eastAsia="黑体" w:cs="黑体"/>
          <w:sz w:val="24"/>
        </w:rPr>
        <w:t>25</w:t>
      </w:r>
      <w:r w:rsidRPr="002009FE">
        <w:rPr>
          <w:rFonts w:ascii="黑体" w:eastAsia="黑体" w:cs="黑体" w:hint="eastAsia"/>
          <w:sz w:val="24"/>
        </w:rPr>
        <w:t>期（</w:t>
      </w:r>
      <w:r>
        <w:rPr>
          <w:rFonts w:ascii="黑体" w:eastAsia="黑体" w:cs="黑体"/>
          <w:sz w:val="24"/>
        </w:rPr>
        <w:t>6</w:t>
      </w:r>
      <w:r w:rsidRPr="002009FE">
        <w:rPr>
          <w:rFonts w:ascii="黑体" w:eastAsia="黑体" w:cs="黑体" w:hint="eastAsia"/>
          <w:sz w:val="24"/>
        </w:rPr>
        <w:t>月</w:t>
      </w:r>
      <w:r>
        <w:rPr>
          <w:rFonts w:ascii="黑体" w:eastAsia="黑体" w:cs="黑体"/>
          <w:sz w:val="24"/>
        </w:rPr>
        <w:t>21</w:t>
      </w:r>
      <w:r w:rsidRPr="002009FE">
        <w:rPr>
          <w:rFonts w:ascii="黑体" w:eastAsia="黑体" w:cs="黑体" w:hint="eastAsia"/>
          <w:sz w:val="24"/>
        </w:rPr>
        <w:t>日</w:t>
      </w:r>
      <w:r w:rsidRPr="002009FE">
        <w:rPr>
          <w:rFonts w:ascii="黑体" w:eastAsia="黑体" w:cs="黑体"/>
          <w:sz w:val="24"/>
        </w:rPr>
        <w:t>-</w:t>
      </w:r>
      <w:r>
        <w:rPr>
          <w:rFonts w:ascii="黑体" w:eastAsia="黑体" w:cs="黑体"/>
          <w:sz w:val="24"/>
        </w:rPr>
        <w:t>6</w:t>
      </w:r>
      <w:r w:rsidRPr="002009FE">
        <w:rPr>
          <w:rFonts w:ascii="黑体" w:eastAsia="黑体" w:cs="黑体" w:hint="eastAsia"/>
          <w:sz w:val="24"/>
        </w:rPr>
        <w:t>月</w:t>
      </w:r>
      <w:r>
        <w:rPr>
          <w:rFonts w:ascii="黑体" w:eastAsia="黑体" w:cs="黑体"/>
          <w:sz w:val="24"/>
        </w:rPr>
        <w:t>27</w:t>
      </w:r>
      <w:r w:rsidRPr="002009FE">
        <w:rPr>
          <w:rFonts w:ascii="黑体" w:eastAsia="黑体" w:cs="黑体" w:hint="eastAsia"/>
          <w:sz w:val="24"/>
        </w:rPr>
        <w:t>日）</w:t>
      </w:r>
      <w:bookmarkEnd w:id="0"/>
    </w:p>
    <w:p w14:paraId="494DD0DC" w14:textId="77777777" w:rsidR="00CF0CB3" w:rsidRPr="002009FE" w:rsidRDefault="00CF0CB3" w:rsidP="00914440">
      <w:pPr>
        <w:jc w:val="center"/>
        <w:outlineLvl w:val="0"/>
        <w:rPr>
          <w:rFonts w:ascii="黑体" w:eastAsia="黑体" w:cs="Times New Roman" w:hint="eastAsia"/>
          <w:sz w:val="24"/>
        </w:rPr>
      </w:pPr>
    </w:p>
    <w:p w14:paraId="0C3D36C6" w14:textId="77777777" w:rsidR="00914440" w:rsidRPr="00A43D0D" w:rsidRDefault="00914440" w:rsidP="00914440">
      <w:pPr>
        <w:rPr>
          <w:rFonts w:ascii="黑体" w:eastAsia="黑体" w:cs="黑体"/>
        </w:rPr>
      </w:pPr>
      <w:r w:rsidRPr="00A43D0D">
        <w:rPr>
          <w:rFonts w:ascii="黑体" w:eastAsia="黑体" w:cs="黑体" w:hint="eastAsia"/>
        </w:rPr>
        <w:t>主要信息源自乘联会每日新闻等</w:t>
      </w:r>
    </w:p>
    <w:p w14:paraId="236AFD1C" w14:textId="77777777" w:rsidR="00914440" w:rsidRPr="00A43D0D" w:rsidRDefault="00914440" w:rsidP="00914440">
      <w:pPr>
        <w:rPr>
          <w:rFonts w:ascii="黑体" w:eastAsia="黑体" w:cs="黑体"/>
        </w:rPr>
      </w:pPr>
      <w:r w:rsidRPr="00A43D0D">
        <w:rPr>
          <w:rFonts w:ascii="黑体" w:eastAsia="黑体" w:cs="黑体" w:hint="eastAsia"/>
        </w:rPr>
        <w:t>中国汽车流通协会汽车市场研究分会</w:t>
      </w:r>
    </w:p>
    <w:p w14:paraId="5A7CD0F8" w14:textId="77777777" w:rsidR="00914440" w:rsidRPr="00A43D0D" w:rsidRDefault="00914440" w:rsidP="00914440">
      <w:pPr>
        <w:rPr>
          <w:rFonts w:ascii="黑体" w:eastAsia="黑体" w:cs="黑体"/>
        </w:rPr>
      </w:pPr>
      <w:r w:rsidRPr="00A43D0D">
        <w:rPr>
          <w:rFonts w:ascii="黑体" w:eastAsia="黑体" w:cs="黑体" w:hint="eastAsia"/>
        </w:rPr>
        <w:t>乘用车市场信息联席会（乘联会）</w:t>
      </w:r>
    </w:p>
    <w:p w14:paraId="0169A3F9" w14:textId="3271A890" w:rsidR="00914440" w:rsidRDefault="00914440" w:rsidP="00914440">
      <w:pPr>
        <w:rPr>
          <w:rFonts w:ascii="黑体" w:eastAsia="黑体" w:cs="黑体"/>
        </w:rPr>
      </w:pPr>
      <w:r w:rsidRPr="00A43D0D">
        <w:rPr>
          <w:rFonts w:ascii="黑体" w:eastAsia="黑体" w:cs="黑体" w:hint="eastAsia"/>
        </w:rPr>
        <w:t>网站：</w:t>
      </w:r>
      <w:hyperlink r:id="rId7" w:history="1">
        <w:r w:rsidR="00CF0CB3" w:rsidRPr="003B2D36">
          <w:rPr>
            <w:rStyle w:val="af0"/>
            <w:rFonts w:ascii="黑体" w:eastAsia="黑体" w:cs="黑体"/>
          </w:rPr>
          <w:t>http://www.cpcaauto.com</w:t>
        </w:r>
      </w:hyperlink>
    </w:p>
    <w:p w14:paraId="7A157525" w14:textId="77777777" w:rsidR="00CF0CB3" w:rsidRPr="00CF0CB3" w:rsidRDefault="00CF0CB3" w:rsidP="00914440">
      <w:pPr>
        <w:rPr>
          <w:rFonts w:cs="Times New Roman" w:hint="eastAsia"/>
        </w:rPr>
      </w:pPr>
    </w:p>
    <w:p w14:paraId="4CC42DD2" w14:textId="77777777" w:rsidR="00914440" w:rsidRPr="002009FE" w:rsidRDefault="00914440" w:rsidP="00914440">
      <w:pPr>
        <w:pStyle w:val="1"/>
        <w:numPr>
          <w:ilvl w:val="0"/>
          <w:numId w:val="1"/>
        </w:numPr>
        <w:ind w:left="284" w:firstLineChars="0"/>
        <w:outlineLvl w:val="0"/>
        <w:rPr>
          <w:rFonts w:ascii="宋体" w:cs="Times New Roman"/>
          <w:b/>
          <w:bCs/>
        </w:rPr>
      </w:pPr>
      <w:r w:rsidRPr="002009FE">
        <w:rPr>
          <w:rFonts w:cs="宋体" w:hint="eastAsia"/>
          <w:b/>
          <w:bCs/>
        </w:rPr>
        <w:t>本周车市概述：</w:t>
      </w:r>
    </w:p>
    <w:p w14:paraId="3617EFFF" w14:textId="1044CE8F" w:rsidR="00EA5289" w:rsidRPr="00CF0CB3" w:rsidRDefault="002D5053" w:rsidP="00EA5289">
      <w:pPr>
        <w:numPr>
          <w:ilvl w:val="0"/>
          <w:numId w:val="2"/>
        </w:numPr>
        <w:outlineLvl w:val="1"/>
        <w:rPr>
          <w:rFonts w:ascii="黑体" w:eastAsia="黑体" w:hAnsi="黑体" w:cs="Times New Roman" w:hint="eastAsia"/>
          <w:b/>
          <w:bCs/>
          <w:sz w:val="24"/>
        </w:rPr>
      </w:pPr>
      <w:r w:rsidRPr="002D5053">
        <w:rPr>
          <w:rFonts w:ascii="黑体" w:eastAsia="黑体" w:hAnsi="黑体" w:cs="Times New Roman"/>
          <w:b/>
          <w:bCs/>
          <w:sz w:val="24"/>
        </w:rPr>
        <w:t>6月乘用车市场周度零售走势</w:t>
      </w:r>
    </w:p>
    <w:p w14:paraId="7DE67082" w14:textId="535C8630" w:rsidR="00CF0CB3" w:rsidRPr="002009FE" w:rsidRDefault="00CF0CB3" w:rsidP="00CF0CB3">
      <w:pPr>
        <w:jc w:val="center"/>
        <w:rPr>
          <w:rFonts w:ascii="Calibri" w:eastAsia="宋体" w:hAnsi="Calibri" w:cs="Times New Roman" w:hint="eastAsia"/>
          <w:szCs w:val="21"/>
        </w:rPr>
      </w:pPr>
      <w:r>
        <w:rPr>
          <w:rFonts w:ascii="Calibri" w:eastAsia="宋体" w:hAnsi="Calibri" w:cs="Times New Roman" w:hint="eastAsia"/>
          <w:noProof/>
          <w:szCs w:val="21"/>
        </w:rPr>
        <w:drawing>
          <wp:inline distT="0" distB="0" distL="0" distR="0" wp14:anchorId="1F94B469" wp14:editId="1B9EE34B">
            <wp:extent cx="4320000" cy="3201255"/>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8">
                      <a:extLst>
                        <a:ext uri="{28A0092B-C50C-407E-A947-70E740481C1C}">
                          <a14:useLocalDpi xmlns:a14="http://schemas.microsoft.com/office/drawing/2010/main" val="0"/>
                        </a:ext>
                      </a:extLst>
                    </a:blip>
                    <a:stretch>
                      <a:fillRect/>
                    </a:stretch>
                  </pic:blipFill>
                  <pic:spPr>
                    <a:xfrm>
                      <a:off x="0" y="0"/>
                      <a:ext cx="4320000" cy="3201255"/>
                    </a:xfrm>
                    <a:prstGeom prst="rect">
                      <a:avLst/>
                    </a:prstGeom>
                  </pic:spPr>
                </pic:pic>
              </a:graphicData>
            </a:graphic>
          </wp:inline>
        </w:drawing>
      </w:r>
    </w:p>
    <w:p w14:paraId="4F5EE99F" w14:textId="789DB3EC" w:rsidR="00EA5289" w:rsidRDefault="00EA5289" w:rsidP="002D5053">
      <w:pPr>
        <w:ind w:firstLineChars="200" w:firstLine="420"/>
        <w:rPr>
          <w:rFonts w:ascii="Calibri" w:eastAsia="宋体" w:hAnsi="Calibri" w:cs="Times New Roman"/>
          <w:szCs w:val="21"/>
        </w:rPr>
      </w:pPr>
      <w:r>
        <w:rPr>
          <w:rFonts w:ascii="Calibri" w:eastAsia="宋体" w:hAnsi="Calibri" w:cs="Times New Roman" w:hint="eastAsia"/>
          <w:szCs w:val="21"/>
        </w:rPr>
        <w:t>由于去年</w:t>
      </w:r>
      <w:r>
        <w:rPr>
          <w:rFonts w:ascii="Calibri" w:eastAsia="宋体" w:hAnsi="Calibri" w:cs="Times New Roman"/>
          <w:szCs w:val="21"/>
        </w:rPr>
        <w:t>6</w:t>
      </w:r>
      <w:r>
        <w:rPr>
          <w:rFonts w:ascii="Calibri" w:eastAsia="宋体" w:hAnsi="Calibri" w:cs="Times New Roman" w:hint="eastAsia"/>
          <w:szCs w:val="21"/>
        </w:rPr>
        <w:t>月的疫情影响已经大为缓解，因此基数相对合理，因此可以主要对比</w:t>
      </w:r>
      <w:r>
        <w:rPr>
          <w:rFonts w:ascii="Calibri" w:eastAsia="宋体" w:hAnsi="Calibri" w:cs="Times New Roman" w:hint="eastAsia"/>
          <w:szCs w:val="21"/>
        </w:rPr>
        <w:t>2</w:t>
      </w:r>
      <w:r>
        <w:rPr>
          <w:rFonts w:ascii="Calibri" w:eastAsia="宋体" w:hAnsi="Calibri" w:cs="Times New Roman"/>
          <w:szCs w:val="21"/>
        </w:rPr>
        <w:t>020</w:t>
      </w:r>
      <w:r>
        <w:rPr>
          <w:rFonts w:ascii="Calibri" w:eastAsia="宋体" w:hAnsi="Calibri" w:cs="Times New Roman" w:hint="eastAsia"/>
          <w:szCs w:val="21"/>
        </w:rPr>
        <w:t>年的走势分析。</w:t>
      </w:r>
      <w:r>
        <w:rPr>
          <w:rFonts w:ascii="Calibri" w:eastAsia="宋体" w:hAnsi="Calibri" w:cs="Times New Roman"/>
          <w:szCs w:val="21"/>
        </w:rPr>
        <w:t>6</w:t>
      </w:r>
      <w:r w:rsidRPr="002A7C74">
        <w:rPr>
          <w:rFonts w:ascii="Calibri" w:eastAsia="宋体" w:hAnsi="Calibri" w:cs="Times New Roman"/>
          <w:szCs w:val="21"/>
        </w:rPr>
        <w:t>月第</w:t>
      </w:r>
      <w:r w:rsidR="007D1A7C">
        <w:rPr>
          <w:rFonts w:ascii="Calibri" w:eastAsia="宋体" w:hAnsi="Calibri" w:cs="Times New Roman" w:hint="eastAsia"/>
          <w:szCs w:val="21"/>
        </w:rPr>
        <w:t>一</w:t>
      </w:r>
      <w:r w:rsidRPr="002A7C74">
        <w:rPr>
          <w:rFonts w:ascii="Calibri" w:eastAsia="宋体" w:hAnsi="Calibri" w:cs="Times New Roman"/>
          <w:szCs w:val="21"/>
        </w:rPr>
        <w:t>周的市场零售达到日均</w:t>
      </w:r>
      <w:r>
        <w:rPr>
          <w:rFonts w:ascii="Calibri" w:eastAsia="宋体" w:hAnsi="Calibri" w:cs="Times New Roman"/>
          <w:szCs w:val="21"/>
        </w:rPr>
        <w:t>2.5</w:t>
      </w:r>
      <w:r w:rsidRPr="002A7C74">
        <w:rPr>
          <w:rFonts w:ascii="Calibri" w:eastAsia="宋体" w:hAnsi="Calibri" w:cs="Times New Roman"/>
          <w:szCs w:val="21"/>
        </w:rPr>
        <w:t>万</w:t>
      </w:r>
      <w:r w:rsidR="007D1A7C">
        <w:rPr>
          <w:rFonts w:ascii="Calibri" w:eastAsia="宋体" w:hAnsi="Calibri" w:cs="Times New Roman" w:hint="eastAsia"/>
          <w:szCs w:val="21"/>
        </w:rPr>
        <w:t>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20</w:t>
      </w:r>
      <w:r w:rsidRPr="002A7C74">
        <w:rPr>
          <w:rFonts w:ascii="Calibri" w:eastAsia="宋体" w:hAnsi="Calibri" w:cs="Times New Roman"/>
          <w:szCs w:val="21"/>
        </w:rPr>
        <w:t>年</w:t>
      </w:r>
      <w:r>
        <w:rPr>
          <w:rFonts w:ascii="Calibri" w:eastAsia="宋体" w:hAnsi="Calibri" w:cs="Times New Roman"/>
          <w:szCs w:val="21"/>
        </w:rPr>
        <w:t>6</w:t>
      </w:r>
      <w:r w:rsidRPr="002A7C74">
        <w:rPr>
          <w:rFonts w:ascii="Calibri" w:eastAsia="宋体" w:hAnsi="Calibri" w:cs="Times New Roman"/>
          <w:szCs w:val="21"/>
        </w:rPr>
        <w:t>月的第</w:t>
      </w:r>
      <w:r w:rsidR="007D1A7C">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下降</w:t>
      </w:r>
      <w:r>
        <w:rPr>
          <w:rFonts w:ascii="Calibri" w:eastAsia="宋体" w:hAnsi="Calibri" w:cs="Times New Roman" w:hint="eastAsia"/>
          <w:szCs w:val="21"/>
        </w:rPr>
        <w:t>7</w:t>
      </w:r>
      <w:r w:rsidRPr="002A7C74">
        <w:rPr>
          <w:rFonts w:ascii="Calibri" w:eastAsia="宋体" w:hAnsi="Calibri" w:cs="Times New Roman"/>
          <w:szCs w:val="21"/>
        </w:rPr>
        <w:t>%</w:t>
      </w:r>
      <w:r w:rsidRPr="002A7C74">
        <w:rPr>
          <w:rFonts w:ascii="Calibri" w:eastAsia="宋体" w:hAnsi="Calibri" w:cs="Times New Roman"/>
          <w:szCs w:val="21"/>
        </w:rPr>
        <w:t>，表现相对平稳</w:t>
      </w:r>
      <w:r>
        <w:rPr>
          <w:rFonts w:ascii="Calibri" w:eastAsia="宋体" w:hAnsi="Calibri" w:cs="Times New Roman" w:hint="eastAsia"/>
          <w:szCs w:val="21"/>
        </w:rPr>
        <w:t>，但相对今年</w:t>
      </w:r>
      <w:r>
        <w:rPr>
          <w:rFonts w:ascii="Calibri" w:eastAsia="宋体" w:hAnsi="Calibri" w:cs="Times New Roman"/>
          <w:szCs w:val="21"/>
        </w:rPr>
        <w:t>5</w:t>
      </w:r>
      <w:r>
        <w:rPr>
          <w:rFonts w:ascii="Calibri" w:eastAsia="宋体" w:hAnsi="Calibri" w:cs="Times New Roman" w:hint="eastAsia"/>
          <w:szCs w:val="21"/>
        </w:rPr>
        <w:t>月</w:t>
      </w:r>
      <w:r w:rsidR="007D1A7C">
        <w:rPr>
          <w:rFonts w:ascii="Calibri" w:eastAsia="宋体" w:hAnsi="Calibri" w:cs="Times New Roman" w:hint="eastAsia"/>
          <w:szCs w:val="21"/>
        </w:rPr>
        <w:t>同期下降</w:t>
      </w:r>
      <w:r>
        <w:rPr>
          <w:rFonts w:ascii="Calibri" w:eastAsia="宋体" w:hAnsi="Calibri" w:cs="Times New Roman" w:hint="eastAsia"/>
          <w:szCs w:val="21"/>
        </w:rPr>
        <w:t>2</w:t>
      </w:r>
      <w:r>
        <w:rPr>
          <w:rFonts w:ascii="Calibri" w:eastAsia="宋体" w:hAnsi="Calibri" w:cs="Times New Roman"/>
          <w:szCs w:val="21"/>
        </w:rPr>
        <w:t>6</w:t>
      </w:r>
      <w:r>
        <w:rPr>
          <w:rFonts w:ascii="Calibri" w:eastAsia="宋体" w:hAnsi="Calibri" w:cs="Times New Roman" w:hint="eastAsia"/>
          <w:szCs w:val="21"/>
        </w:rPr>
        <w:t>%</w:t>
      </w:r>
      <w:r>
        <w:rPr>
          <w:rFonts w:ascii="Calibri" w:eastAsia="宋体" w:hAnsi="Calibri" w:cs="Times New Roman" w:hint="eastAsia"/>
          <w:szCs w:val="21"/>
        </w:rPr>
        <w:t>的表现偏弱。</w:t>
      </w:r>
    </w:p>
    <w:p w14:paraId="07354664" w14:textId="44593557" w:rsidR="00EA5289" w:rsidRDefault="00EA5289" w:rsidP="002D5053">
      <w:pPr>
        <w:ind w:firstLineChars="200" w:firstLine="420"/>
        <w:rPr>
          <w:rFonts w:ascii="Calibri" w:eastAsia="宋体" w:hAnsi="Calibri" w:cs="Times New Roman"/>
          <w:szCs w:val="21"/>
        </w:rPr>
      </w:pPr>
      <w:r>
        <w:rPr>
          <w:rFonts w:ascii="Calibri" w:eastAsia="宋体" w:hAnsi="Calibri" w:cs="Times New Roman"/>
          <w:szCs w:val="21"/>
        </w:rPr>
        <w:t>6</w:t>
      </w:r>
      <w:r w:rsidRPr="002A7C74">
        <w:rPr>
          <w:rFonts w:ascii="Calibri" w:eastAsia="宋体" w:hAnsi="Calibri" w:cs="Times New Roman"/>
          <w:szCs w:val="21"/>
        </w:rPr>
        <w:t>月第</w:t>
      </w:r>
      <w:r w:rsidR="007D1A7C">
        <w:rPr>
          <w:rFonts w:ascii="Calibri" w:eastAsia="宋体" w:hAnsi="Calibri" w:cs="Times New Roman" w:hint="eastAsia"/>
          <w:szCs w:val="21"/>
        </w:rPr>
        <w:t>二</w:t>
      </w:r>
      <w:r w:rsidRPr="002A7C74">
        <w:rPr>
          <w:rFonts w:ascii="Calibri" w:eastAsia="宋体" w:hAnsi="Calibri" w:cs="Times New Roman"/>
          <w:szCs w:val="21"/>
        </w:rPr>
        <w:t>周的市场零售达到日均</w:t>
      </w:r>
      <w:r>
        <w:rPr>
          <w:rFonts w:ascii="Calibri" w:eastAsia="宋体" w:hAnsi="Calibri" w:cs="Times New Roman"/>
          <w:szCs w:val="21"/>
        </w:rPr>
        <w:t>3.5</w:t>
      </w:r>
      <w:r w:rsidR="002D5053">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20</w:t>
      </w:r>
      <w:r w:rsidRPr="002A7C74">
        <w:rPr>
          <w:rFonts w:ascii="Calibri" w:eastAsia="宋体" w:hAnsi="Calibri" w:cs="Times New Roman"/>
          <w:szCs w:val="21"/>
        </w:rPr>
        <w:t>年</w:t>
      </w:r>
      <w:r>
        <w:rPr>
          <w:rFonts w:ascii="Calibri" w:eastAsia="宋体" w:hAnsi="Calibri" w:cs="Times New Roman"/>
          <w:szCs w:val="21"/>
        </w:rPr>
        <w:t>6</w:t>
      </w:r>
      <w:r w:rsidRPr="002A7C74">
        <w:rPr>
          <w:rFonts w:ascii="Calibri" w:eastAsia="宋体" w:hAnsi="Calibri" w:cs="Times New Roman"/>
          <w:szCs w:val="21"/>
        </w:rPr>
        <w:t>月的第</w:t>
      </w:r>
      <w:r w:rsidR="002D5053">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下降</w:t>
      </w:r>
      <w:r>
        <w:rPr>
          <w:rFonts w:ascii="Calibri" w:eastAsia="宋体" w:hAnsi="Calibri" w:cs="Times New Roman"/>
          <w:szCs w:val="21"/>
        </w:rPr>
        <w:t>2</w:t>
      </w:r>
      <w:r w:rsidRPr="002A7C74">
        <w:rPr>
          <w:rFonts w:ascii="Calibri" w:eastAsia="宋体" w:hAnsi="Calibri" w:cs="Times New Roman"/>
          <w:szCs w:val="21"/>
        </w:rPr>
        <w:t>%</w:t>
      </w:r>
      <w:r w:rsidRPr="002A7C74">
        <w:rPr>
          <w:rFonts w:ascii="Calibri" w:eastAsia="宋体" w:hAnsi="Calibri" w:cs="Times New Roman"/>
          <w:szCs w:val="21"/>
        </w:rPr>
        <w:t>，表现相对平稳</w:t>
      </w:r>
      <w:r>
        <w:rPr>
          <w:rFonts w:ascii="Calibri" w:eastAsia="宋体" w:hAnsi="Calibri" w:cs="Times New Roman" w:hint="eastAsia"/>
          <w:szCs w:val="21"/>
        </w:rPr>
        <w:t>，但相对今年</w:t>
      </w:r>
      <w:r>
        <w:rPr>
          <w:rFonts w:ascii="Calibri" w:eastAsia="宋体" w:hAnsi="Calibri" w:cs="Times New Roman"/>
          <w:szCs w:val="21"/>
        </w:rPr>
        <w:t>5</w:t>
      </w:r>
      <w:r>
        <w:rPr>
          <w:rFonts w:ascii="Calibri" w:eastAsia="宋体" w:hAnsi="Calibri" w:cs="Times New Roman" w:hint="eastAsia"/>
          <w:szCs w:val="21"/>
        </w:rPr>
        <w:t>月</w:t>
      </w:r>
      <w:r w:rsidR="002D5053">
        <w:rPr>
          <w:rFonts w:ascii="Calibri" w:eastAsia="宋体" w:hAnsi="Calibri" w:cs="Times New Roman" w:hint="eastAsia"/>
          <w:szCs w:val="21"/>
        </w:rPr>
        <w:t>同期</w:t>
      </w:r>
      <w:r>
        <w:rPr>
          <w:rFonts w:ascii="Calibri" w:eastAsia="宋体" w:hAnsi="Calibri" w:cs="Times New Roman" w:hint="eastAsia"/>
          <w:szCs w:val="21"/>
        </w:rPr>
        <w:t>下降</w:t>
      </w:r>
      <w:r>
        <w:rPr>
          <w:rFonts w:ascii="Calibri" w:eastAsia="宋体" w:hAnsi="Calibri" w:cs="Times New Roman"/>
          <w:szCs w:val="21"/>
        </w:rPr>
        <w:t>4</w:t>
      </w:r>
      <w:r>
        <w:rPr>
          <w:rFonts w:ascii="Calibri" w:eastAsia="宋体" w:hAnsi="Calibri" w:cs="Times New Roman" w:hint="eastAsia"/>
          <w:szCs w:val="21"/>
        </w:rPr>
        <w:t>%</w:t>
      </w:r>
      <w:r>
        <w:rPr>
          <w:rFonts w:ascii="Calibri" w:eastAsia="宋体" w:hAnsi="Calibri" w:cs="Times New Roman" w:hint="eastAsia"/>
          <w:szCs w:val="21"/>
        </w:rPr>
        <w:t>的表现仍稍显偏弱。</w:t>
      </w:r>
    </w:p>
    <w:p w14:paraId="21DA24B3" w14:textId="1C6E8E83" w:rsidR="00EA5289" w:rsidRPr="002A7C74" w:rsidRDefault="00EA5289" w:rsidP="002D5053">
      <w:pPr>
        <w:ind w:firstLineChars="200" w:firstLine="420"/>
        <w:rPr>
          <w:rFonts w:ascii="Calibri" w:eastAsia="宋体" w:hAnsi="Calibri" w:cs="Times New Roman"/>
          <w:szCs w:val="21"/>
        </w:rPr>
      </w:pPr>
      <w:r>
        <w:rPr>
          <w:rFonts w:ascii="Calibri" w:eastAsia="宋体" w:hAnsi="Calibri" w:cs="Times New Roman"/>
          <w:szCs w:val="21"/>
        </w:rPr>
        <w:t>6</w:t>
      </w:r>
      <w:r w:rsidRPr="002A7C74">
        <w:rPr>
          <w:rFonts w:ascii="Calibri" w:eastAsia="宋体" w:hAnsi="Calibri" w:cs="Times New Roman"/>
          <w:szCs w:val="21"/>
        </w:rPr>
        <w:t>月第</w:t>
      </w:r>
      <w:r w:rsidR="002D5053">
        <w:rPr>
          <w:rFonts w:ascii="Calibri" w:eastAsia="宋体" w:hAnsi="Calibri" w:cs="Times New Roman" w:hint="eastAsia"/>
          <w:szCs w:val="21"/>
        </w:rPr>
        <w:t>三</w:t>
      </w:r>
      <w:r w:rsidRPr="002A7C74">
        <w:rPr>
          <w:rFonts w:ascii="Calibri" w:eastAsia="宋体" w:hAnsi="Calibri" w:cs="Times New Roman"/>
          <w:szCs w:val="21"/>
        </w:rPr>
        <w:t>周的市场零售达到日均</w:t>
      </w:r>
      <w:r>
        <w:rPr>
          <w:rFonts w:ascii="Calibri" w:eastAsia="宋体" w:hAnsi="Calibri" w:cs="Times New Roman"/>
          <w:szCs w:val="21"/>
        </w:rPr>
        <w:t>4.2</w:t>
      </w:r>
      <w:r w:rsidR="002D5053">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20</w:t>
      </w:r>
      <w:r w:rsidRPr="002A7C74">
        <w:rPr>
          <w:rFonts w:ascii="Calibri" w:eastAsia="宋体" w:hAnsi="Calibri" w:cs="Times New Roman"/>
          <w:szCs w:val="21"/>
        </w:rPr>
        <w:t>年</w:t>
      </w:r>
      <w:r>
        <w:rPr>
          <w:rFonts w:ascii="Calibri" w:eastAsia="宋体" w:hAnsi="Calibri" w:cs="Times New Roman"/>
          <w:szCs w:val="21"/>
        </w:rPr>
        <w:t>6</w:t>
      </w:r>
      <w:r w:rsidRPr="002A7C74">
        <w:rPr>
          <w:rFonts w:ascii="Calibri" w:eastAsia="宋体" w:hAnsi="Calibri" w:cs="Times New Roman"/>
          <w:szCs w:val="21"/>
        </w:rPr>
        <w:t>月的第</w:t>
      </w:r>
      <w:r w:rsidR="002D5053">
        <w:rPr>
          <w:rFonts w:ascii="Calibri" w:eastAsia="宋体" w:hAnsi="Calibri" w:cs="Times New Roman" w:hint="eastAsia"/>
          <w:szCs w:val="21"/>
        </w:rPr>
        <w:t>三</w:t>
      </w:r>
      <w:r w:rsidRPr="002A7C74">
        <w:rPr>
          <w:rFonts w:ascii="Calibri" w:eastAsia="宋体" w:hAnsi="Calibri" w:cs="Times New Roman"/>
          <w:szCs w:val="21"/>
        </w:rPr>
        <w:t>周</w:t>
      </w:r>
      <w:r>
        <w:rPr>
          <w:rFonts w:ascii="Calibri" w:eastAsia="宋体" w:hAnsi="Calibri" w:cs="Times New Roman" w:hint="eastAsia"/>
          <w:szCs w:val="21"/>
        </w:rPr>
        <w:t>下降</w:t>
      </w:r>
      <w:r>
        <w:rPr>
          <w:rFonts w:ascii="Calibri" w:eastAsia="宋体" w:hAnsi="Calibri" w:cs="Times New Roman"/>
          <w:szCs w:val="21"/>
        </w:rPr>
        <w:t>7</w:t>
      </w:r>
      <w:r w:rsidRPr="002A7C74">
        <w:rPr>
          <w:rFonts w:ascii="Calibri" w:eastAsia="宋体" w:hAnsi="Calibri" w:cs="Times New Roman"/>
          <w:szCs w:val="21"/>
        </w:rPr>
        <w:t>%</w:t>
      </w:r>
      <w:r w:rsidRPr="002A7C74">
        <w:rPr>
          <w:rFonts w:ascii="Calibri" w:eastAsia="宋体" w:hAnsi="Calibri" w:cs="Times New Roman"/>
          <w:szCs w:val="21"/>
        </w:rPr>
        <w:t>，表现相对平稳</w:t>
      </w:r>
      <w:r>
        <w:rPr>
          <w:rFonts w:ascii="Calibri" w:eastAsia="宋体" w:hAnsi="Calibri" w:cs="Times New Roman" w:hint="eastAsia"/>
          <w:szCs w:val="21"/>
        </w:rPr>
        <w:t>，但相对今年</w:t>
      </w:r>
      <w:r>
        <w:rPr>
          <w:rFonts w:ascii="Calibri" w:eastAsia="宋体" w:hAnsi="Calibri" w:cs="Times New Roman"/>
          <w:szCs w:val="21"/>
        </w:rPr>
        <w:t>5</w:t>
      </w:r>
      <w:r>
        <w:rPr>
          <w:rFonts w:ascii="Calibri" w:eastAsia="宋体" w:hAnsi="Calibri" w:cs="Times New Roman" w:hint="eastAsia"/>
          <w:szCs w:val="21"/>
        </w:rPr>
        <w:t>月</w:t>
      </w:r>
      <w:r w:rsidR="002D5053">
        <w:rPr>
          <w:rFonts w:ascii="Calibri" w:eastAsia="宋体" w:hAnsi="Calibri" w:cs="Times New Roman" w:hint="eastAsia"/>
          <w:szCs w:val="21"/>
        </w:rPr>
        <w:t>同期</w:t>
      </w:r>
      <w:r>
        <w:rPr>
          <w:rFonts w:ascii="Calibri" w:eastAsia="宋体" w:hAnsi="Calibri" w:cs="Times New Roman" w:hint="eastAsia"/>
          <w:szCs w:val="21"/>
        </w:rPr>
        <w:t>增长</w:t>
      </w:r>
      <w:r>
        <w:rPr>
          <w:rFonts w:ascii="Calibri" w:eastAsia="宋体" w:hAnsi="Calibri" w:cs="Times New Roman" w:hint="eastAsia"/>
          <w:szCs w:val="21"/>
        </w:rPr>
        <w:t>3%</w:t>
      </w:r>
      <w:r>
        <w:rPr>
          <w:rFonts w:ascii="Calibri" w:eastAsia="宋体" w:hAnsi="Calibri" w:cs="Times New Roman" w:hint="eastAsia"/>
          <w:szCs w:val="21"/>
        </w:rPr>
        <w:t>的表现较为正常。</w:t>
      </w:r>
    </w:p>
    <w:p w14:paraId="57E934C8" w14:textId="454F4B2F" w:rsidR="000D49F1" w:rsidRPr="002A7C74" w:rsidRDefault="000D49F1" w:rsidP="002D5053">
      <w:pPr>
        <w:ind w:firstLineChars="200" w:firstLine="420"/>
        <w:rPr>
          <w:rFonts w:ascii="Calibri" w:eastAsia="宋体" w:hAnsi="Calibri" w:cs="Times New Roman"/>
          <w:szCs w:val="21"/>
        </w:rPr>
      </w:pPr>
      <w:r>
        <w:rPr>
          <w:rFonts w:ascii="Calibri" w:eastAsia="宋体" w:hAnsi="Calibri" w:cs="Times New Roman"/>
          <w:szCs w:val="21"/>
        </w:rPr>
        <w:t>6</w:t>
      </w:r>
      <w:r w:rsidRPr="002A7C74">
        <w:rPr>
          <w:rFonts w:ascii="Calibri" w:eastAsia="宋体" w:hAnsi="Calibri" w:cs="Times New Roman"/>
          <w:szCs w:val="21"/>
        </w:rPr>
        <w:t>月第</w:t>
      </w:r>
      <w:r w:rsidR="002D5053">
        <w:rPr>
          <w:rFonts w:ascii="Calibri" w:eastAsia="宋体" w:hAnsi="Calibri" w:cs="Times New Roman" w:hint="eastAsia"/>
          <w:szCs w:val="21"/>
        </w:rPr>
        <w:t>四</w:t>
      </w:r>
      <w:r w:rsidRPr="002A7C74">
        <w:rPr>
          <w:rFonts w:ascii="Calibri" w:eastAsia="宋体" w:hAnsi="Calibri" w:cs="Times New Roman"/>
          <w:szCs w:val="21"/>
        </w:rPr>
        <w:t>周的市场零售达到</w:t>
      </w:r>
      <w:r w:rsidR="002D5053">
        <w:rPr>
          <w:rFonts w:ascii="Calibri" w:eastAsia="宋体" w:hAnsi="Calibri" w:cs="Times New Roman" w:hint="eastAsia"/>
          <w:szCs w:val="21"/>
        </w:rPr>
        <w:t>日均</w:t>
      </w:r>
      <w:r>
        <w:rPr>
          <w:rFonts w:ascii="Calibri" w:eastAsia="宋体" w:hAnsi="Calibri" w:cs="Times New Roman" w:hint="eastAsia"/>
          <w:szCs w:val="21"/>
        </w:rPr>
        <w:t>4</w:t>
      </w:r>
      <w:r>
        <w:rPr>
          <w:rFonts w:ascii="Calibri" w:eastAsia="宋体" w:hAnsi="Calibri" w:cs="Times New Roman"/>
          <w:szCs w:val="21"/>
        </w:rPr>
        <w:t>.9</w:t>
      </w:r>
      <w:r w:rsidR="002D5053">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20</w:t>
      </w:r>
      <w:r w:rsidRPr="002A7C74">
        <w:rPr>
          <w:rFonts w:ascii="Calibri" w:eastAsia="宋体" w:hAnsi="Calibri" w:cs="Times New Roman"/>
          <w:szCs w:val="21"/>
        </w:rPr>
        <w:t>年</w:t>
      </w:r>
      <w:r>
        <w:rPr>
          <w:rFonts w:ascii="Calibri" w:eastAsia="宋体" w:hAnsi="Calibri" w:cs="Times New Roman"/>
          <w:szCs w:val="21"/>
        </w:rPr>
        <w:t>6</w:t>
      </w:r>
      <w:r w:rsidRPr="002A7C74">
        <w:rPr>
          <w:rFonts w:ascii="Calibri" w:eastAsia="宋体" w:hAnsi="Calibri" w:cs="Times New Roman"/>
          <w:szCs w:val="21"/>
        </w:rPr>
        <w:t>月的第</w:t>
      </w:r>
      <w:r w:rsidR="002D5053">
        <w:rPr>
          <w:rFonts w:ascii="Calibri" w:eastAsia="宋体" w:hAnsi="Calibri" w:cs="Times New Roman" w:hint="eastAsia"/>
          <w:szCs w:val="21"/>
        </w:rPr>
        <w:t>四</w:t>
      </w:r>
      <w:r w:rsidRPr="002A7C74">
        <w:rPr>
          <w:rFonts w:ascii="Calibri" w:eastAsia="宋体" w:hAnsi="Calibri" w:cs="Times New Roman"/>
          <w:szCs w:val="21"/>
        </w:rPr>
        <w:t>周</w:t>
      </w:r>
      <w:r>
        <w:rPr>
          <w:rFonts w:ascii="Calibri" w:eastAsia="宋体" w:hAnsi="Calibri" w:cs="Times New Roman" w:hint="eastAsia"/>
          <w:szCs w:val="21"/>
        </w:rPr>
        <w:t>下降</w:t>
      </w:r>
      <w:r>
        <w:rPr>
          <w:rFonts w:ascii="Calibri" w:eastAsia="宋体" w:hAnsi="Calibri" w:cs="Times New Roman"/>
          <w:szCs w:val="21"/>
        </w:rPr>
        <w:t>5</w:t>
      </w:r>
      <w:r w:rsidRPr="002A7C74">
        <w:rPr>
          <w:rFonts w:ascii="Calibri" w:eastAsia="宋体" w:hAnsi="Calibri" w:cs="Times New Roman"/>
          <w:szCs w:val="21"/>
        </w:rPr>
        <w:t>%</w:t>
      </w:r>
      <w:r w:rsidRPr="002A7C74">
        <w:rPr>
          <w:rFonts w:ascii="Calibri" w:eastAsia="宋体" w:hAnsi="Calibri" w:cs="Times New Roman"/>
          <w:szCs w:val="21"/>
        </w:rPr>
        <w:t>，表现相对平稳</w:t>
      </w:r>
      <w:r>
        <w:rPr>
          <w:rFonts w:ascii="Calibri" w:eastAsia="宋体" w:hAnsi="Calibri" w:cs="Times New Roman" w:hint="eastAsia"/>
          <w:szCs w:val="21"/>
        </w:rPr>
        <w:t>，但相对今年</w:t>
      </w:r>
      <w:r>
        <w:rPr>
          <w:rFonts w:ascii="Calibri" w:eastAsia="宋体" w:hAnsi="Calibri" w:cs="Times New Roman"/>
          <w:szCs w:val="21"/>
        </w:rPr>
        <w:t>5</w:t>
      </w:r>
      <w:r>
        <w:rPr>
          <w:rFonts w:ascii="Calibri" w:eastAsia="宋体" w:hAnsi="Calibri" w:cs="Times New Roman" w:hint="eastAsia"/>
          <w:szCs w:val="21"/>
        </w:rPr>
        <w:t>月</w:t>
      </w:r>
      <w:r w:rsidR="002D5053">
        <w:rPr>
          <w:rFonts w:ascii="Calibri" w:eastAsia="宋体" w:hAnsi="Calibri" w:cs="Times New Roman" w:hint="eastAsia"/>
          <w:szCs w:val="21"/>
        </w:rPr>
        <w:t>同期下降</w:t>
      </w:r>
      <w:r>
        <w:rPr>
          <w:rFonts w:ascii="Calibri" w:eastAsia="宋体" w:hAnsi="Calibri" w:cs="Times New Roman"/>
          <w:szCs w:val="21"/>
        </w:rPr>
        <w:t>26</w:t>
      </w:r>
      <w:r>
        <w:rPr>
          <w:rFonts w:ascii="Calibri" w:eastAsia="宋体" w:hAnsi="Calibri" w:cs="Times New Roman" w:hint="eastAsia"/>
          <w:szCs w:val="21"/>
        </w:rPr>
        <w:t>%</w:t>
      </w:r>
      <w:r>
        <w:rPr>
          <w:rFonts w:ascii="Calibri" w:eastAsia="宋体" w:hAnsi="Calibri" w:cs="Times New Roman" w:hint="eastAsia"/>
          <w:szCs w:val="21"/>
        </w:rPr>
        <w:t>的表现</w:t>
      </w:r>
      <w:r w:rsidR="002D5053">
        <w:rPr>
          <w:rFonts w:ascii="Calibri" w:eastAsia="宋体" w:hAnsi="Calibri" w:cs="Times New Roman" w:hint="eastAsia"/>
          <w:szCs w:val="21"/>
        </w:rPr>
        <w:t>偏弱</w:t>
      </w:r>
      <w:r>
        <w:rPr>
          <w:rFonts w:ascii="Calibri" w:eastAsia="宋体" w:hAnsi="Calibri" w:cs="Times New Roman" w:hint="eastAsia"/>
          <w:szCs w:val="21"/>
        </w:rPr>
        <w:t>。</w:t>
      </w:r>
    </w:p>
    <w:p w14:paraId="48BEAD9C" w14:textId="73718A96" w:rsidR="00EA5289" w:rsidRDefault="00EA5289" w:rsidP="002D5053">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6</w:t>
      </w:r>
      <w:r>
        <w:rPr>
          <w:rFonts w:ascii="Calibri" w:eastAsia="宋体" w:hAnsi="Calibri" w:cs="Times New Roman" w:hint="eastAsia"/>
          <w:szCs w:val="21"/>
        </w:rPr>
        <w:t>月前</w:t>
      </w:r>
      <w:r w:rsidR="002D5053">
        <w:rPr>
          <w:rFonts w:ascii="Calibri" w:eastAsia="宋体" w:hAnsi="Calibri" w:cs="Times New Roman" w:hint="eastAsia"/>
          <w:szCs w:val="21"/>
        </w:rPr>
        <w:t>四</w:t>
      </w:r>
      <w:r>
        <w:rPr>
          <w:rFonts w:ascii="Calibri" w:eastAsia="宋体" w:hAnsi="Calibri" w:cs="Times New Roman" w:hint="eastAsia"/>
          <w:szCs w:val="21"/>
        </w:rPr>
        <w:t>周总体同比下降</w:t>
      </w:r>
      <w:r>
        <w:rPr>
          <w:rFonts w:ascii="Calibri" w:eastAsia="宋体" w:hAnsi="Calibri" w:cs="Times New Roman"/>
          <w:szCs w:val="21"/>
        </w:rPr>
        <w:t>5</w:t>
      </w:r>
      <w:r>
        <w:rPr>
          <w:rFonts w:ascii="Calibri" w:eastAsia="宋体" w:hAnsi="Calibri" w:cs="Times New Roman" w:hint="eastAsia"/>
          <w:szCs w:val="21"/>
        </w:rPr>
        <w:t>%</w:t>
      </w:r>
      <w:r>
        <w:rPr>
          <w:rFonts w:ascii="Calibri" w:eastAsia="宋体" w:hAnsi="Calibri" w:cs="Times New Roman" w:hint="eastAsia"/>
          <w:szCs w:val="21"/>
        </w:rPr>
        <w:t>，应该是消费环境受到一定影响的。广东疫情和部分地区封闭等措施暂时影响车市的销量，日系车的走势不强。随着广东疫情的有效防控，加之高考后的车市消费恢复，车市</w:t>
      </w:r>
      <w:r w:rsidR="000D49F1">
        <w:rPr>
          <w:rFonts w:ascii="Calibri" w:eastAsia="宋体" w:hAnsi="Calibri" w:cs="Times New Roman" w:hint="eastAsia"/>
          <w:szCs w:val="21"/>
        </w:rPr>
        <w:t>月末应</w:t>
      </w:r>
      <w:r>
        <w:rPr>
          <w:rFonts w:ascii="Calibri" w:eastAsia="宋体" w:hAnsi="Calibri" w:cs="Times New Roman" w:hint="eastAsia"/>
          <w:szCs w:val="21"/>
        </w:rPr>
        <w:t>明显恢复活力。</w:t>
      </w:r>
    </w:p>
    <w:p w14:paraId="5617178E" w14:textId="77777777" w:rsidR="00EA5289" w:rsidRPr="00411336" w:rsidRDefault="00EA5289" w:rsidP="00EA5289">
      <w:pPr>
        <w:ind w:firstLineChars="135" w:firstLine="283"/>
        <w:rPr>
          <w:rFonts w:ascii="Calibri" w:eastAsia="宋体" w:hAnsi="Calibri" w:cs="Times New Roman"/>
          <w:szCs w:val="21"/>
        </w:rPr>
      </w:pPr>
    </w:p>
    <w:p w14:paraId="57F1EBD3" w14:textId="3879C04D" w:rsidR="00EA5289" w:rsidRPr="00DF54D4" w:rsidRDefault="002D5053" w:rsidP="00EA5289">
      <w:pPr>
        <w:numPr>
          <w:ilvl w:val="0"/>
          <w:numId w:val="2"/>
        </w:numPr>
        <w:outlineLvl w:val="1"/>
        <w:rPr>
          <w:rFonts w:ascii="黑体" w:eastAsia="黑体" w:hAnsi="黑体" w:cs="Times New Roman" w:hint="eastAsia"/>
          <w:b/>
          <w:bCs/>
          <w:sz w:val="24"/>
        </w:rPr>
      </w:pPr>
      <w:r w:rsidRPr="002D5053">
        <w:rPr>
          <w:rFonts w:ascii="黑体" w:eastAsia="黑体" w:hAnsi="黑体" w:cs="Times New Roman"/>
          <w:b/>
          <w:bCs/>
          <w:sz w:val="24"/>
        </w:rPr>
        <w:t>6月乘用车市场周度批发走势</w:t>
      </w:r>
    </w:p>
    <w:p w14:paraId="0CA9C9BC" w14:textId="4D6F3EFA" w:rsidR="002D5053" w:rsidRPr="00186DB5" w:rsidRDefault="002D5053" w:rsidP="002D5053">
      <w:pPr>
        <w:jc w:val="center"/>
        <w:rPr>
          <w:rFonts w:ascii="Calibri" w:eastAsia="宋体" w:hAnsi="Calibri" w:cs="宋体" w:hint="eastAsia"/>
          <w:szCs w:val="21"/>
        </w:rPr>
      </w:pPr>
      <w:r>
        <w:rPr>
          <w:rFonts w:ascii="Calibri" w:eastAsia="宋体" w:hAnsi="Calibri" w:cs="宋体" w:hint="eastAsia"/>
          <w:noProof/>
          <w:szCs w:val="21"/>
        </w:rPr>
        <w:lastRenderedPageBreak/>
        <w:drawing>
          <wp:inline distT="0" distB="0" distL="0" distR="0" wp14:anchorId="3FCFEA97" wp14:editId="25C8C353">
            <wp:extent cx="4320000" cy="3206967"/>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9">
                      <a:extLst>
                        <a:ext uri="{28A0092B-C50C-407E-A947-70E740481C1C}">
                          <a14:useLocalDpi xmlns:a14="http://schemas.microsoft.com/office/drawing/2010/main" val="0"/>
                        </a:ext>
                      </a:extLst>
                    </a:blip>
                    <a:stretch>
                      <a:fillRect/>
                    </a:stretch>
                  </pic:blipFill>
                  <pic:spPr>
                    <a:xfrm>
                      <a:off x="0" y="0"/>
                      <a:ext cx="4320000" cy="3206967"/>
                    </a:xfrm>
                    <a:prstGeom prst="rect">
                      <a:avLst/>
                    </a:prstGeom>
                  </pic:spPr>
                </pic:pic>
              </a:graphicData>
            </a:graphic>
          </wp:inline>
        </w:drawing>
      </w:r>
    </w:p>
    <w:p w14:paraId="6D2CEE12" w14:textId="77777777" w:rsidR="00DF54D4" w:rsidRDefault="00EA5289" w:rsidP="00DF54D4">
      <w:pPr>
        <w:ind w:firstLineChars="200" w:firstLine="420"/>
        <w:rPr>
          <w:rFonts w:ascii="Calibri" w:eastAsia="宋体" w:hAnsi="Calibri" w:cs="Times New Roman"/>
          <w:szCs w:val="21"/>
        </w:rPr>
      </w:pPr>
      <w:r>
        <w:rPr>
          <w:rFonts w:ascii="Calibri" w:eastAsia="宋体" w:hAnsi="Calibri" w:cs="Times New Roman"/>
          <w:szCs w:val="21"/>
        </w:rPr>
        <w:t>6</w:t>
      </w:r>
      <w:r>
        <w:rPr>
          <w:rFonts w:ascii="Calibri" w:eastAsia="宋体" w:hAnsi="Calibri" w:cs="Times New Roman" w:hint="eastAsia"/>
          <w:szCs w:val="21"/>
        </w:rPr>
        <w:t>月第</w:t>
      </w:r>
      <w:r w:rsidR="00DF54D4">
        <w:rPr>
          <w:rFonts w:ascii="Calibri" w:eastAsia="宋体" w:hAnsi="Calibri" w:cs="Times New Roman" w:hint="eastAsia"/>
          <w:szCs w:val="21"/>
        </w:rPr>
        <w:t>一</w:t>
      </w:r>
      <w:r>
        <w:rPr>
          <w:rFonts w:ascii="Calibri" w:eastAsia="宋体" w:hAnsi="Calibri" w:cs="Times New Roman" w:hint="eastAsia"/>
          <w:szCs w:val="21"/>
        </w:rPr>
        <w:t>周日均批发</w:t>
      </w:r>
      <w:r>
        <w:rPr>
          <w:rFonts w:ascii="Calibri" w:eastAsia="宋体" w:hAnsi="Calibri" w:cs="Times New Roman"/>
          <w:szCs w:val="21"/>
        </w:rPr>
        <w:t>2.5</w:t>
      </w:r>
      <w:r w:rsidR="002D5053">
        <w:rPr>
          <w:rFonts w:ascii="Calibri" w:eastAsia="宋体" w:hAnsi="Calibri" w:cs="Times New Roman"/>
          <w:szCs w:val="21"/>
        </w:rPr>
        <w:t>万辆</w:t>
      </w:r>
      <w:r>
        <w:rPr>
          <w:rFonts w:ascii="Calibri" w:eastAsia="宋体" w:hAnsi="Calibri" w:cs="Times New Roman"/>
          <w:szCs w:val="21"/>
        </w:rPr>
        <w:t>，同比</w:t>
      </w:r>
      <w:r>
        <w:rPr>
          <w:rFonts w:ascii="Calibri" w:eastAsia="宋体" w:hAnsi="Calibri" w:cs="Times New Roman" w:hint="eastAsia"/>
          <w:szCs w:val="21"/>
        </w:rPr>
        <w:t>2</w:t>
      </w:r>
      <w:r>
        <w:rPr>
          <w:rFonts w:ascii="Calibri" w:eastAsia="宋体" w:hAnsi="Calibri" w:cs="Times New Roman"/>
          <w:szCs w:val="21"/>
        </w:rPr>
        <w:t>020</w:t>
      </w:r>
      <w:r>
        <w:rPr>
          <w:rFonts w:ascii="Calibri" w:eastAsia="宋体" w:hAnsi="Calibri" w:cs="Times New Roman" w:hint="eastAsia"/>
          <w:szCs w:val="21"/>
        </w:rPr>
        <w:t>年</w:t>
      </w:r>
      <w:r>
        <w:rPr>
          <w:rFonts w:ascii="Calibri" w:eastAsia="宋体" w:hAnsi="Calibri" w:cs="Times New Roman"/>
          <w:szCs w:val="21"/>
        </w:rPr>
        <w:t>6</w:t>
      </w:r>
      <w:r>
        <w:rPr>
          <w:rFonts w:ascii="Calibri" w:eastAsia="宋体" w:hAnsi="Calibri" w:cs="Times New Roman" w:hint="eastAsia"/>
          <w:szCs w:val="21"/>
        </w:rPr>
        <w:t>月同期下降</w:t>
      </w:r>
      <w:r>
        <w:rPr>
          <w:rFonts w:ascii="Calibri" w:eastAsia="宋体" w:hAnsi="Calibri" w:cs="Times New Roman"/>
          <w:szCs w:val="21"/>
        </w:rPr>
        <w:t>26</w:t>
      </w:r>
      <w:r>
        <w:rPr>
          <w:rFonts w:ascii="Calibri" w:eastAsia="宋体" w:hAnsi="Calibri" w:cs="Times New Roman" w:hint="eastAsia"/>
          <w:szCs w:val="21"/>
        </w:rPr>
        <w:t>%</w:t>
      </w:r>
      <w:r>
        <w:rPr>
          <w:rFonts w:ascii="Calibri" w:eastAsia="宋体" w:hAnsi="Calibri" w:cs="Times New Roman" w:hint="eastAsia"/>
          <w:szCs w:val="21"/>
        </w:rPr>
        <w:t>，走势相对放缓。本周相对于</w:t>
      </w:r>
      <w:r>
        <w:rPr>
          <w:rFonts w:ascii="Calibri" w:eastAsia="宋体" w:hAnsi="Calibri" w:cs="Times New Roman"/>
          <w:szCs w:val="21"/>
        </w:rPr>
        <w:t>5</w:t>
      </w:r>
      <w:r>
        <w:rPr>
          <w:rFonts w:ascii="Calibri" w:eastAsia="宋体" w:hAnsi="Calibri" w:cs="Times New Roman" w:hint="eastAsia"/>
          <w:szCs w:val="21"/>
        </w:rPr>
        <w:t>月</w:t>
      </w:r>
      <w:r w:rsidR="00DF54D4">
        <w:rPr>
          <w:rFonts w:ascii="Calibri" w:eastAsia="宋体" w:hAnsi="Calibri" w:cs="Times New Roman" w:hint="eastAsia"/>
          <w:szCs w:val="21"/>
        </w:rPr>
        <w:t>同期的</w:t>
      </w:r>
      <w:r>
        <w:rPr>
          <w:rFonts w:ascii="Calibri" w:eastAsia="宋体" w:hAnsi="Calibri" w:cs="Times New Roman" w:hint="eastAsia"/>
          <w:szCs w:val="21"/>
        </w:rPr>
        <w:t>销量增长</w:t>
      </w:r>
      <w:r>
        <w:rPr>
          <w:rFonts w:ascii="Calibri" w:eastAsia="宋体" w:hAnsi="Calibri" w:cs="Times New Roman"/>
          <w:szCs w:val="21"/>
        </w:rPr>
        <w:t>2</w:t>
      </w:r>
      <w:r>
        <w:rPr>
          <w:rFonts w:ascii="Calibri" w:eastAsia="宋体" w:hAnsi="Calibri" w:cs="Times New Roman" w:hint="eastAsia"/>
          <w:szCs w:val="21"/>
        </w:rPr>
        <w:t>%</w:t>
      </w:r>
      <w:r w:rsidR="00DF54D4">
        <w:rPr>
          <w:rFonts w:ascii="Calibri" w:eastAsia="宋体" w:hAnsi="Calibri" w:cs="Times New Roman" w:hint="eastAsia"/>
          <w:szCs w:val="21"/>
        </w:rPr>
        <w:t>。</w:t>
      </w:r>
    </w:p>
    <w:p w14:paraId="5D8B163B" w14:textId="77777777" w:rsidR="00DF54D4" w:rsidRDefault="00EA5289" w:rsidP="00DF54D4">
      <w:pPr>
        <w:ind w:firstLineChars="200" w:firstLine="420"/>
        <w:rPr>
          <w:rFonts w:ascii="Calibri" w:eastAsia="宋体" w:hAnsi="Calibri" w:cs="Times New Roman"/>
          <w:szCs w:val="21"/>
        </w:rPr>
      </w:pPr>
      <w:r>
        <w:rPr>
          <w:rFonts w:ascii="Calibri" w:eastAsia="宋体" w:hAnsi="Calibri" w:cs="Times New Roman"/>
          <w:szCs w:val="21"/>
        </w:rPr>
        <w:t>6</w:t>
      </w:r>
      <w:r>
        <w:rPr>
          <w:rFonts w:ascii="Calibri" w:eastAsia="宋体" w:hAnsi="Calibri" w:cs="Times New Roman" w:hint="eastAsia"/>
          <w:szCs w:val="21"/>
        </w:rPr>
        <w:t>月第</w:t>
      </w:r>
      <w:r w:rsidR="00DF54D4">
        <w:rPr>
          <w:rFonts w:ascii="Calibri" w:eastAsia="宋体" w:hAnsi="Calibri" w:cs="Times New Roman" w:hint="eastAsia"/>
          <w:szCs w:val="21"/>
        </w:rPr>
        <w:t>二</w:t>
      </w:r>
      <w:r>
        <w:rPr>
          <w:rFonts w:ascii="Calibri" w:eastAsia="宋体" w:hAnsi="Calibri" w:cs="Times New Roman" w:hint="eastAsia"/>
          <w:szCs w:val="21"/>
        </w:rPr>
        <w:t>周日均批发</w:t>
      </w:r>
      <w:r>
        <w:rPr>
          <w:rFonts w:ascii="Calibri" w:eastAsia="宋体" w:hAnsi="Calibri" w:cs="Times New Roman"/>
          <w:szCs w:val="21"/>
        </w:rPr>
        <w:t>3.3</w:t>
      </w:r>
      <w:r w:rsidR="002D5053">
        <w:rPr>
          <w:rFonts w:ascii="Calibri" w:eastAsia="宋体" w:hAnsi="Calibri" w:cs="Times New Roman"/>
          <w:szCs w:val="21"/>
        </w:rPr>
        <w:t>万辆</w:t>
      </w:r>
      <w:r>
        <w:rPr>
          <w:rFonts w:ascii="Calibri" w:eastAsia="宋体" w:hAnsi="Calibri" w:cs="Times New Roman"/>
          <w:szCs w:val="21"/>
        </w:rPr>
        <w:t>，同比</w:t>
      </w:r>
      <w:r>
        <w:rPr>
          <w:rFonts w:ascii="Calibri" w:eastAsia="宋体" w:hAnsi="Calibri" w:cs="Times New Roman" w:hint="eastAsia"/>
          <w:szCs w:val="21"/>
        </w:rPr>
        <w:t>2</w:t>
      </w:r>
      <w:r>
        <w:rPr>
          <w:rFonts w:ascii="Calibri" w:eastAsia="宋体" w:hAnsi="Calibri" w:cs="Times New Roman"/>
          <w:szCs w:val="21"/>
        </w:rPr>
        <w:t>020</w:t>
      </w:r>
      <w:r>
        <w:rPr>
          <w:rFonts w:ascii="Calibri" w:eastAsia="宋体" w:hAnsi="Calibri" w:cs="Times New Roman" w:hint="eastAsia"/>
          <w:szCs w:val="21"/>
        </w:rPr>
        <w:t>年</w:t>
      </w:r>
      <w:r>
        <w:rPr>
          <w:rFonts w:ascii="Calibri" w:eastAsia="宋体" w:hAnsi="Calibri" w:cs="Times New Roman"/>
          <w:szCs w:val="21"/>
        </w:rPr>
        <w:t>6</w:t>
      </w:r>
      <w:r>
        <w:rPr>
          <w:rFonts w:ascii="Calibri" w:eastAsia="宋体" w:hAnsi="Calibri" w:cs="Times New Roman" w:hint="eastAsia"/>
          <w:szCs w:val="21"/>
        </w:rPr>
        <w:t>月同期下降</w:t>
      </w:r>
      <w:r>
        <w:rPr>
          <w:rFonts w:ascii="Calibri" w:eastAsia="宋体" w:hAnsi="Calibri" w:cs="Times New Roman"/>
          <w:szCs w:val="21"/>
        </w:rPr>
        <w:t>17</w:t>
      </w:r>
      <w:r>
        <w:rPr>
          <w:rFonts w:ascii="Calibri" w:eastAsia="宋体" w:hAnsi="Calibri" w:cs="Times New Roman" w:hint="eastAsia"/>
          <w:szCs w:val="21"/>
        </w:rPr>
        <w:t>%</w:t>
      </w:r>
      <w:r>
        <w:rPr>
          <w:rFonts w:ascii="Calibri" w:eastAsia="宋体" w:hAnsi="Calibri" w:cs="Times New Roman" w:hint="eastAsia"/>
          <w:szCs w:val="21"/>
        </w:rPr>
        <w:t>，走势相对放缓。本周相对于</w:t>
      </w:r>
      <w:r>
        <w:rPr>
          <w:rFonts w:ascii="Calibri" w:eastAsia="宋体" w:hAnsi="Calibri" w:cs="Times New Roman"/>
          <w:szCs w:val="21"/>
        </w:rPr>
        <w:t>5</w:t>
      </w:r>
      <w:r>
        <w:rPr>
          <w:rFonts w:ascii="Calibri" w:eastAsia="宋体" w:hAnsi="Calibri" w:cs="Times New Roman" w:hint="eastAsia"/>
          <w:szCs w:val="21"/>
        </w:rPr>
        <w:t>月</w:t>
      </w:r>
      <w:r w:rsidR="00DF54D4">
        <w:rPr>
          <w:rFonts w:ascii="Calibri" w:eastAsia="宋体" w:hAnsi="Calibri" w:cs="Times New Roman" w:hint="eastAsia"/>
          <w:szCs w:val="21"/>
        </w:rPr>
        <w:t>同期</w:t>
      </w:r>
      <w:r>
        <w:rPr>
          <w:rFonts w:ascii="Calibri" w:eastAsia="宋体" w:hAnsi="Calibri" w:cs="Times New Roman" w:hint="eastAsia"/>
          <w:szCs w:val="21"/>
        </w:rPr>
        <w:t>的销量下降</w:t>
      </w:r>
      <w:r>
        <w:rPr>
          <w:rFonts w:ascii="Calibri" w:eastAsia="宋体" w:hAnsi="Calibri" w:cs="Times New Roman" w:hint="eastAsia"/>
          <w:szCs w:val="21"/>
        </w:rPr>
        <w:t>9%</w:t>
      </w:r>
      <w:r>
        <w:rPr>
          <w:rFonts w:ascii="Calibri" w:eastAsia="宋体" w:hAnsi="Calibri" w:cs="Times New Roman" w:hint="eastAsia"/>
          <w:szCs w:val="21"/>
        </w:rPr>
        <w:t>，</w:t>
      </w:r>
      <w:r w:rsidR="00DF54D4">
        <w:rPr>
          <w:rFonts w:ascii="Calibri" w:eastAsia="宋体" w:hAnsi="Calibri" w:cs="Times New Roman" w:hint="eastAsia"/>
          <w:szCs w:val="21"/>
        </w:rPr>
        <w:t>厂商</w:t>
      </w:r>
      <w:r>
        <w:rPr>
          <w:rFonts w:ascii="Calibri" w:eastAsia="宋体" w:hAnsi="Calibri" w:cs="Times New Roman" w:hint="eastAsia"/>
          <w:szCs w:val="21"/>
        </w:rPr>
        <w:t>产销相对偏弱。</w:t>
      </w:r>
    </w:p>
    <w:p w14:paraId="342B02B2" w14:textId="77777777" w:rsidR="00DF54D4" w:rsidRDefault="00EA5289" w:rsidP="00DF54D4">
      <w:pPr>
        <w:ind w:firstLineChars="200" w:firstLine="420"/>
        <w:rPr>
          <w:rFonts w:ascii="Calibri" w:eastAsia="宋体" w:hAnsi="Calibri" w:cs="Times New Roman"/>
          <w:szCs w:val="21"/>
        </w:rPr>
      </w:pPr>
      <w:r>
        <w:rPr>
          <w:rFonts w:ascii="Calibri" w:eastAsia="宋体" w:hAnsi="Calibri" w:cs="Times New Roman" w:hint="eastAsia"/>
          <w:szCs w:val="21"/>
        </w:rPr>
        <w:t>由于受到端午假期等因素影响，</w:t>
      </w:r>
      <w:r>
        <w:rPr>
          <w:rFonts w:ascii="Calibri" w:eastAsia="宋体" w:hAnsi="Calibri" w:cs="Times New Roman"/>
          <w:szCs w:val="21"/>
        </w:rPr>
        <w:t>6</w:t>
      </w:r>
      <w:r>
        <w:rPr>
          <w:rFonts w:ascii="Calibri" w:eastAsia="宋体" w:hAnsi="Calibri" w:cs="Times New Roman" w:hint="eastAsia"/>
          <w:szCs w:val="21"/>
        </w:rPr>
        <w:t>月第</w:t>
      </w:r>
      <w:r w:rsidR="00DF54D4">
        <w:rPr>
          <w:rFonts w:ascii="Calibri" w:eastAsia="宋体" w:hAnsi="Calibri" w:cs="Times New Roman" w:hint="eastAsia"/>
          <w:szCs w:val="21"/>
        </w:rPr>
        <w:t>三</w:t>
      </w:r>
      <w:r>
        <w:rPr>
          <w:rFonts w:ascii="Calibri" w:eastAsia="宋体" w:hAnsi="Calibri" w:cs="Times New Roman" w:hint="eastAsia"/>
          <w:szCs w:val="21"/>
        </w:rPr>
        <w:t>周日均批发</w:t>
      </w:r>
      <w:r>
        <w:rPr>
          <w:rFonts w:ascii="Calibri" w:eastAsia="宋体" w:hAnsi="Calibri" w:cs="Times New Roman"/>
          <w:szCs w:val="21"/>
        </w:rPr>
        <w:t>2.5</w:t>
      </w:r>
      <w:r w:rsidR="002D5053">
        <w:rPr>
          <w:rFonts w:ascii="Calibri" w:eastAsia="宋体" w:hAnsi="Calibri" w:cs="Times New Roman"/>
          <w:szCs w:val="21"/>
        </w:rPr>
        <w:t>万辆</w:t>
      </w:r>
      <w:r>
        <w:rPr>
          <w:rFonts w:ascii="Calibri" w:eastAsia="宋体" w:hAnsi="Calibri" w:cs="Times New Roman"/>
          <w:szCs w:val="21"/>
        </w:rPr>
        <w:t>，同比</w:t>
      </w:r>
      <w:r>
        <w:rPr>
          <w:rFonts w:ascii="Calibri" w:eastAsia="宋体" w:hAnsi="Calibri" w:cs="Times New Roman" w:hint="eastAsia"/>
          <w:szCs w:val="21"/>
        </w:rPr>
        <w:t>2</w:t>
      </w:r>
      <w:r>
        <w:rPr>
          <w:rFonts w:ascii="Calibri" w:eastAsia="宋体" w:hAnsi="Calibri" w:cs="Times New Roman"/>
          <w:szCs w:val="21"/>
        </w:rPr>
        <w:t>020</w:t>
      </w:r>
      <w:r>
        <w:rPr>
          <w:rFonts w:ascii="Calibri" w:eastAsia="宋体" w:hAnsi="Calibri" w:cs="Times New Roman" w:hint="eastAsia"/>
          <w:szCs w:val="21"/>
        </w:rPr>
        <w:t>年</w:t>
      </w:r>
      <w:r>
        <w:rPr>
          <w:rFonts w:ascii="Calibri" w:eastAsia="宋体" w:hAnsi="Calibri" w:cs="Times New Roman"/>
          <w:szCs w:val="21"/>
        </w:rPr>
        <w:t>6</w:t>
      </w:r>
      <w:r>
        <w:rPr>
          <w:rFonts w:ascii="Calibri" w:eastAsia="宋体" w:hAnsi="Calibri" w:cs="Times New Roman" w:hint="eastAsia"/>
          <w:szCs w:val="21"/>
        </w:rPr>
        <w:t>月同期下降</w:t>
      </w:r>
      <w:r>
        <w:rPr>
          <w:rFonts w:ascii="Calibri" w:eastAsia="宋体" w:hAnsi="Calibri" w:cs="Times New Roman"/>
          <w:szCs w:val="21"/>
        </w:rPr>
        <w:t>51</w:t>
      </w:r>
      <w:r>
        <w:rPr>
          <w:rFonts w:ascii="Calibri" w:eastAsia="宋体" w:hAnsi="Calibri" w:cs="Times New Roman" w:hint="eastAsia"/>
          <w:szCs w:val="21"/>
        </w:rPr>
        <w:t>%</w:t>
      </w:r>
      <w:r>
        <w:rPr>
          <w:rFonts w:ascii="Calibri" w:eastAsia="宋体" w:hAnsi="Calibri" w:cs="Times New Roman" w:hint="eastAsia"/>
          <w:szCs w:val="21"/>
        </w:rPr>
        <w:t>，走势相对放缓。本周相对于</w:t>
      </w:r>
      <w:r>
        <w:rPr>
          <w:rFonts w:ascii="Calibri" w:eastAsia="宋体" w:hAnsi="Calibri" w:cs="Times New Roman"/>
          <w:szCs w:val="21"/>
        </w:rPr>
        <w:t>5</w:t>
      </w:r>
      <w:r>
        <w:rPr>
          <w:rFonts w:ascii="Calibri" w:eastAsia="宋体" w:hAnsi="Calibri" w:cs="Times New Roman" w:hint="eastAsia"/>
          <w:szCs w:val="21"/>
        </w:rPr>
        <w:t>月</w:t>
      </w:r>
      <w:r w:rsidR="00DF54D4">
        <w:rPr>
          <w:rFonts w:ascii="Calibri" w:eastAsia="宋体" w:hAnsi="Calibri" w:cs="Times New Roman" w:hint="eastAsia"/>
          <w:szCs w:val="21"/>
        </w:rPr>
        <w:t>同期</w:t>
      </w:r>
      <w:r>
        <w:rPr>
          <w:rFonts w:ascii="Calibri" w:eastAsia="宋体" w:hAnsi="Calibri" w:cs="Times New Roman" w:hint="eastAsia"/>
          <w:szCs w:val="21"/>
        </w:rPr>
        <w:t>的销量下降</w:t>
      </w:r>
      <w:r>
        <w:rPr>
          <w:rFonts w:ascii="Calibri" w:eastAsia="宋体" w:hAnsi="Calibri" w:cs="Times New Roman"/>
          <w:szCs w:val="21"/>
        </w:rPr>
        <w:t>45</w:t>
      </w:r>
      <w:r>
        <w:rPr>
          <w:rFonts w:ascii="Calibri" w:eastAsia="宋体" w:hAnsi="Calibri" w:cs="Times New Roman" w:hint="eastAsia"/>
          <w:szCs w:val="21"/>
        </w:rPr>
        <w:t>%</w:t>
      </w:r>
      <w:r>
        <w:rPr>
          <w:rFonts w:ascii="Calibri" w:eastAsia="宋体" w:hAnsi="Calibri" w:cs="Times New Roman" w:hint="eastAsia"/>
          <w:szCs w:val="21"/>
        </w:rPr>
        <w:t>，</w:t>
      </w:r>
      <w:r w:rsidR="00DF54D4">
        <w:rPr>
          <w:rFonts w:ascii="Calibri" w:eastAsia="宋体" w:hAnsi="Calibri" w:cs="Times New Roman" w:hint="eastAsia"/>
          <w:szCs w:val="21"/>
        </w:rPr>
        <w:t>厂商</w:t>
      </w:r>
      <w:r>
        <w:rPr>
          <w:rFonts w:ascii="Calibri" w:eastAsia="宋体" w:hAnsi="Calibri" w:cs="Times New Roman" w:hint="eastAsia"/>
          <w:szCs w:val="21"/>
        </w:rPr>
        <w:t>产销相对偏弱。</w:t>
      </w:r>
    </w:p>
    <w:p w14:paraId="54FB46D9" w14:textId="77777777" w:rsidR="00DF54D4" w:rsidRDefault="00EA5289" w:rsidP="00DF54D4">
      <w:pPr>
        <w:ind w:firstLineChars="200" w:firstLine="420"/>
        <w:rPr>
          <w:rFonts w:ascii="Calibri" w:eastAsia="宋体" w:hAnsi="Calibri" w:cs="Times New Roman"/>
          <w:szCs w:val="21"/>
        </w:rPr>
      </w:pPr>
      <w:r>
        <w:rPr>
          <w:rFonts w:ascii="Calibri" w:eastAsia="宋体" w:hAnsi="Calibri" w:cs="Times New Roman"/>
          <w:szCs w:val="21"/>
        </w:rPr>
        <w:t>6</w:t>
      </w:r>
      <w:r>
        <w:rPr>
          <w:rFonts w:ascii="Calibri" w:eastAsia="宋体" w:hAnsi="Calibri" w:cs="Times New Roman" w:hint="eastAsia"/>
          <w:szCs w:val="21"/>
        </w:rPr>
        <w:t>月第</w:t>
      </w:r>
      <w:r w:rsidR="00DF54D4">
        <w:rPr>
          <w:rFonts w:ascii="Calibri" w:eastAsia="宋体" w:hAnsi="Calibri" w:cs="Times New Roman" w:hint="eastAsia"/>
          <w:szCs w:val="21"/>
        </w:rPr>
        <w:t>四</w:t>
      </w:r>
      <w:r>
        <w:rPr>
          <w:rFonts w:ascii="Calibri" w:eastAsia="宋体" w:hAnsi="Calibri" w:cs="Times New Roman" w:hint="eastAsia"/>
          <w:szCs w:val="21"/>
        </w:rPr>
        <w:t>周日均批发</w:t>
      </w:r>
      <w:r>
        <w:rPr>
          <w:rFonts w:ascii="Calibri" w:eastAsia="宋体" w:hAnsi="Calibri" w:cs="Times New Roman"/>
          <w:szCs w:val="21"/>
        </w:rPr>
        <w:t>5.</w:t>
      </w:r>
      <w:r w:rsidR="00DF54D4">
        <w:rPr>
          <w:rFonts w:ascii="Calibri" w:eastAsia="宋体" w:hAnsi="Calibri" w:cs="Times New Roman"/>
          <w:szCs w:val="21"/>
        </w:rPr>
        <w:t>6</w:t>
      </w:r>
      <w:r w:rsidR="002D5053">
        <w:rPr>
          <w:rFonts w:ascii="Calibri" w:eastAsia="宋体" w:hAnsi="Calibri" w:cs="Times New Roman"/>
          <w:szCs w:val="21"/>
        </w:rPr>
        <w:t>万辆</w:t>
      </w:r>
      <w:r>
        <w:rPr>
          <w:rFonts w:ascii="Calibri" w:eastAsia="宋体" w:hAnsi="Calibri" w:cs="Times New Roman"/>
          <w:szCs w:val="21"/>
        </w:rPr>
        <w:t>，同比</w:t>
      </w:r>
      <w:r>
        <w:rPr>
          <w:rFonts w:ascii="Calibri" w:eastAsia="宋体" w:hAnsi="Calibri" w:cs="Times New Roman" w:hint="eastAsia"/>
          <w:szCs w:val="21"/>
        </w:rPr>
        <w:t>2</w:t>
      </w:r>
      <w:r>
        <w:rPr>
          <w:rFonts w:ascii="Calibri" w:eastAsia="宋体" w:hAnsi="Calibri" w:cs="Times New Roman"/>
          <w:szCs w:val="21"/>
        </w:rPr>
        <w:t>020</w:t>
      </w:r>
      <w:r>
        <w:rPr>
          <w:rFonts w:ascii="Calibri" w:eastAsia="宋体" w:hAnsi="Calibri" w:cs="Times New Roman" w:hint="eastAsia"/>
          <w:szCs w:val="21"/>
        </w:rPr>
        <w:t>年</w:t>
      </w:r>
      <w:r>
        <w:rPr>
          <w:rFonts w:ascii="Calibri" w:eastAsia="宋体" w:hAnsi="Calibri" w:cs="Times New Roman"/>
          <w:szCs w:val="21"/>
        </w:rPr>
        <w:t>6</w:t>
      </w:r>
      <w:r>
        <w:rPr>
          <w:rFonts w:ascii="Calibri" w:eastAsia="宋体" w:hAnsi="Calibri" w:cs="Times New Roman" w:hint="eastAsia"/>
          <w:szCs w:val="21"/>
        </w:rPr>
        <w:t>月同期增长</w:t>
      </w:r>
      <w:r>
        <w:rPr>
          <w:rFonts w:ascii="Calibri" w:eastAsia="宋体" w:hAnsi="Calibri" w:cs="Times New Roman" w:hint="eastAsia"/>
          <w:szCs w:val="21"/>
        </w:rPr>
        <w:t>9%</w:t>
      </w:r>
      <w:r>
        <w:rPr>
          <w:rFonts w:ascii="Calibri" w:eastAsia="宋体" w:hAnsi="Calibri" w:cs="Times New Roman" w:hint="eastAsia"/>
          <w:szCs w:val="21"/>
        </w:rPr>
        <w:t>，走势大幅改善。本周相对于</w:t>
      </w:r>
      <w:r>
        <w:rPr>
          <w:rFonts w:ascii="Calibri" w:eastAsia="宋体" w:hAnsi="Calibri" w:cs="Times New Roman"/>
          <w:szCs w:val="21"/>
        </w:rPr>
        <w:t>5</w:t>
      </w:r>
      <w:r>
        <w:rPr>
          <w:rFonts w:ascii="Calibri" w:eastAsia="宋体" w:hAnsi="Calibri" w:cs="Times New Roman" w:hint="eastAsia"/>
          <w:szCs w:val="21"/>
        </w:rPr>
        <w:t>月</w:t>
      </w:r>
      <w:r w:rsidR="00DF54D4">
        <w:rPr>
          <w:rFonts w:ascii="Calibri" w:eastAsia="宋体" w:hAnsi="Calibri" w:cs="Times New Roman" w:hint="eastAsia"/>
          <w:szCs w:val="21"/>
        </w:rPr>
        <w:t>同期</w:t>
      </w:r>
      <w:r>
        <w:rPr>
          <w:rFonts w:ascii="Calibri" w:eastAsia="宋体" w:hAnsi="Calibri" w:cs="Times New Roman" w:hint="eastAsia"/>
          <w:szCs w:val="21"/>
        </w:rPr>
        <w:t>的销量下降</w:t>
      </w:r>
      <w:r>
        <w:rPr>
          <w:rFonts w:ascii="Calibri" w:eastAsia="宋体" w:hAnsi="Calibri" w:cs="Times New Roman"/>
          <w:szCs w:val="21"/>
        </w:rPr>
        <w:t>10</w:t>
      </w:r>
      <w:r>
        <w:rPr>
          <w:rFonts w:ascii="Calibri" w:eastAsia="宋体" w:hAnsi="Calibri" w:cs="Times New Roman" w:hint="eastAsia"/>
          <w:szCs w:val="21"/>
        </w:rPr>
        <w:t>%</w:t>
      </w:r>
      <w:r>
        <w:rPr>
          <w:rFonts w:ascii="Calibri" w:eastAsia="宋体" w:hAnsi="Calibri" w:cs="Times New Roman" w:hint="eastAsia"/>
          <w:szCs w:val="21"/>
        </w:rPr>
        <w:t>，</w:t>
      </w:r>
      <w:r w:rsidR="00DF54D4">
        <w:rPr>
          <w:rFonts w:ascii="Calibri" w:eastAsia="宋体" w:hAnsi="Calibri" w:cs="Times New Roman" w:hint="eastAsia"/>
          <w:szCs w:val="21"/>
        </w:rPr>
        <w:t>厂商</w:t>
      </w:r>
      <w:r>
        <w:rPr>
          <w:rFonts w:ascii="Calibri" w:eastAsia="宋体" w:hAnsi="Calibri" w:cs="Times New Roman" w:hint="eastAsia"/>
          <w:szCs w:val="21"/>
        </w:rPr>
        <w:t>产销相对偏弱。</w:t>
      </w:r>
    </w:p>
    <w:p w14:paraId="4BFDB01E" w14:textId="77777777" w:rsidR="00DF54D4" w:rsidRDefault="00EA5289" w:rsidP="00DF54D4">
      <w:pPr>
        <w:ind w:firstLineChars="200" w:firstLine="420"/>
        <w:rPr>
          <w:rFonts w:ascii="Calibri" w:eastAsia="宋体" w:hAnsi="Calibri" w:cs="Times New Roman"/>
          <w:szCs w:val="21"/>
        </w:rPr>
      </w:pPr>
      <w:r>
        <w:rPr>
          <w:rFonts w:ascii="Calibri" w:eastAsia="宋体" w:hAnsi="Calibri" w:cs="Times New Roman" w:hint="eastAsia"/>
          <w:szCs w:val="21"/>
        </w:rPr>
        <w:t>6</w:t>
      </w:r>
      <w:r>
        <w:rPr>
          <w:rFonts w:ascii="Calibri" w:eastAsia="宋体" w:hAnsi="Calibri" w:cs="Times New Roman" w:hint="eastAsia"/>
          <w:szCs w:val="21"/>
        </w:rPr>
        <w:t>月</w:t>
      </w:r>
      <w:r w:rsidR="00DF54D4">
        <w:rPr>
          <w:rFonts w:ascii="Calibri" w:eastAsia="宋体" w:hAnsi="Calibri" w:cs="Times New Roman" w:hint="eastAsia"/>
          <w:szCs w:val="21"/>
        </w:rPr>
        <w:t>一至四</w:t>
      </w:r>
      <w:r>
        <w:rPr>
          <w:rFonts w:ascii="Calibri" w:eastAsia="宋体" w:hAnsi="Calibri" w:cs="Times New Roman" w:hint="eastAsia"/>
          <w:szCs w:val="21"/>
        </w:rPr>
        <w:t>周日均批发达到</w:t>
      </w:r>
      <w:r>
        <w:rPr>
          <w:rFonts w:ascii="Calibri" w:eastAsia="宋体" w:hAnsi="Calibri" w:cs="Times New Roman" w:hint="eastAsia"/>
          <w:szCs w:val="21"/>
        </w:rPr>
        <w:t>3</w:t>
      </w:r>
      <w:r>
        <w:rPr>
          <w:rFonts w:ascii="Calibri" w:eastAsia="宋体" w:hAnsi="Calibri" w:cs="Times New Roman"/>
          <w:szCs w:val="21"/>
        </w:rPr>
        <w:t>.5</w:t>
      </w:r>
      <w:r w:rsidR="002D5053">
        <w:rPr>
          <w:rFonts w:ascii="Calibri" w:eastAsia="宋体" w:hAnsi="Calibri" w:cs="Times New Roman" w:hint="eastAsia"/>
          <w:szCs w:val="21"/>
        </w:rPr>
        <w:t>万辆</w:t>
      </w:r>
      <w:r>
        <w:rPr>
          <w:rFonts w:ascii="Calibri" w:eastAsia="宋体" w:hAnsi="Calibri" w:cs="Times New Roman" w:hint="eastAsia"/>
          <w:szCs w:val="21"/>
        </w:rPr>
        <w:t>，同比下降</w:t>
      </w:r>
      <w:r>
        <w:rPr>
          <w:rFonts w:ascii="Calibri" w:eastAsia="宋体" w:hAnsi="Calibri" w:cs="Times New Roman" w:hint="eastAsia"/>
          <w:szCs w:val="21"/>
        </w:rPr>
        <w:t>1</w:t>
      </w:r>
      <w:r>
        <w:rPr>
          <w:rFonts w:ascii="Calibri" w:eastAsia="宋体" w:hAnsi="Calibri" w:cs="Times New Roman"/>
          <w:szCs w:val="21"/>
        </w:rPr>
        <w:t>9</w:t>
      </w:r>
      <w:r>
        <w:rPr>
          <w:rFonts w:ascii="Calibri" w:eastAsia="宋体" w:hAnsi="Calibri" w:cs="Times New Roman" w:hint="eastAsia"/>
          <w:szCs w:val="21"/>
        </w:rPr>
        <w:t>%</w:t>
      </w:r>
      <w:r>
        <w:rPr>
          <w:rFonts w:ascii="Calibri" w:eastAsia="宋体" w:hAnsi="Calibri" w:cs="Times New Roman" w:hint="eastAsia"/>
          <w:szCs w:val="21"/>
        </w:rPr>
        <w:t>，下降幅度偏大，月末应进一步改善。</w:t>
      </w:r>
    </w:p>
    <w:p w14:paraId="6EBF4459" w14:textId="3BA28BE0" w:rsidR="00142FE6" w:rsidRDefault="00EA5289" w:rsidP="00DF54D4">
      <w:pPr>
        <w:ind w:firstLineChars="200" w:firstLine="420"/>
        <w:rPr>
          <w:rFonts w:ascii="Calibri" w:eastAsia="宋体" w:hAnsi="Calibri" w:cs="Times New Roman"/>
          <w:szCs w:val="21"/>
        </w:rPr>
      </w:pPr>
      <w:r>
        <w:rPr>
          <w:rFonts w:ascii="Calibri" w:eastAsia="宋体" w:hAnsi="Calibri" w:cs="Times New Roman" w:hint="eastAsia"/>
          <w:szCs w:val="21"/>
        </w:rPr>
        <w:t>因</w:t>
      </w:r>
      <w:r>
        <w:rPr>
          <w:rFonts w:ascii="Calibri" w:eastAsia="宋体" w:hAnsi="Calibri" w:cs="Times New Roman" w:hint="eastAsia"/>
          <w:szCs w:val="21"/>
        </w:rPr>
        <w:t>6</w:t>
      </w:r>
      <w:r>
        <w:rPr>
          <w:rFonts w:ascii="Calibri" w:eastAsia="宋体" w:hAnsi="Calibri" w:cs="Times New Roman" w:hint="eastAsia"/>
          <w:szCs w:val="21"/>
        </w:rPr>
        <w:t>月初的疫情</w:t>
      </w:r>
      <w:r w:rsidR="00DF54D4">
        <w:rPr>
          <w:rFonts w:ascii="Calibri" w:eastAsia="宋体" w:hAnsi="Calibri" w:cs="Times New Roman" w:hint="eastAsia"/>
          <w:szCs w:val="21"/>
        </w:rPr>
        <w:t>及</w:t>
      </w:r>
      <w:r>
        <w:rPr>
          <w:rFonts w:ascii="Calibri" w:eastAsia="宋体" w:hAnsi="Calibri" w:cs="Times New Roman" w:hint="eastAsia"/>
          <w:szCs w:val="21"/>
        </w:rPr>
        <w:t>芯片</w:t>
      </w:r>
      <w:r w:rsidR="00DF54D4">
        <w:rPr>
          <w:rFonts w:ascii="Calibri" w:eastAsia="宋体" w:hAnsi="Calibri" w:cs="Times New Roman" w:hint="eastAsia"/>
          <w:szCs w:val="21"/>
        </w:rPr>
        <w:t>短缺</w:t>
      </w:r>
      <w:r>
        <w:rPr>
          <w:rFonts w:ascii="Calibri" w:eastAsia="宋体" w:hAnsi="Calibri" w:cs="Times New Roman" w:hint="eastAsia"/>
          <w:szCs w:val="21"/>
        </w:rPr>
        <w:t>的影响仍在延续，因此部分</w:t>
      </w:r>
      <w:r w:rsidR="00DF54D4">
        <w:rPr>
          <w:rFonts w:ascii="Calibri" w:eastAsia="宋体" w:hAnsi="Calibri" w:cs="Times New Roman" w:hint="eastAsia"/>
          <w:szCs w:val="21"/>
        </w:rPr>
        <w:t>厂商</w:t>
      </w:r>
      <w:r>
        <w:rPr>
          <w:rFonts w:ascii="Calibri" w:eastAsia="宋体" w:hAnsi="Calibri" w:cs="Times New Roman" w:hint="eastAsia"/>
          <w:szCs w:val="21"/>
        </w:rPr>
        <w:t>的月初产销节奏相对偏慢。</w:t>
      </w:r>
      <w:r w:rsidR="00142FE6">
        <w:rPr>
          <w:rFonts w:ascii="Calibri" w:eastAsia="宋体" w:hAnsi="Calibri" w:cs="Times New Roman" w:hint="eastAsia"/>
          <w:szCs w:val="21"/>
        </w:rPr>
        <w:t>前期的端午休假影响一定产销进度，加之广东疫情比预期复杂，</w:t>
      </w:r>
      <w:r>
        <w:rPr>
          <w:rFonts w:ascii="Calibri" w:eastAsia="宋体" w:hAnsi="Calibri" w:cs="Times New Roman" w:hint="eastAsia"/>
          <w:szCs w:val="21"/>
        </w:rPr>
        <w:t>部分车企休假时间稍长，</w:t>
      </w:r>
      <w:r w:rsidR="00142FE6">
        <w:rPr>
          <w:rFonts w:ascii="Calibri" w:eastAsia="宋体" w:hAnsi="Calibri" w:cs="Times New Roman" w:hint="eastAsia"/>
          <w:szCs w:val="21"/>
        </w:rPr>
        <w:t>月初到月中的</w:t>
      </w:r>
      <w:r w:rsidR="00DF54D4">
        <w:rPr>
          <w:rFonts w:ascii="Calibri" w:eastAsia="宋体" w:hAnsi="Calibri" w:cs="Times New Roman" w:hint="eastAsia"/>
          <w:szCs w:val="21"/>
        </w:rPr>
        <w:t>厂商</w:t>
      </w:r>
      <w:r>
        <w:rPr>
          <w:rFonts w:ascii="Calibri" w:eastAsia="宋体" w:hAnsi="Calibri" w:cs="Times New Roman" w:hint="eastAsia"/>
          <w:szCs w:val="21"/>
        </w:rPr>
        <w:t>销量偏低。</w:t>
      </w:r>
    </w:p>
    <w:p w14:paraId="57745B18" w14:textId="65DCE185" w:rsidR="00EA5289" w:rsidRPr="000239EC" w:rsidRDefault="00142FE6" w:rsidP="00142FE6">
      <w:pPr>
        <w:ind w:firstLineChars="270" w:firstLine="567"/>
        <w:rPr>
          <w:rFonts w:ascii="Calibri" w:eastAsia="宋体" w:hAnsi="Calibri" w:cs="Times New Roman"/>
          <w:szCs w:val="21"/>
        </w:rPr>
      </w:pPr>
      <w:r>
        <w:rPr>
          <w:rFonts w:ascii="Calibri" w:eastAsia="宋体" w:hAnsi="Calibri" w:cs="Times New Roman" w:hint="eastAsia"/>
          <w:szCs w:val="21"/>
        </w:rPr>
        <w:t>但</w:t>
      </w:r>
      <w:r w:rsidR="00EA5289">
        <w:rPr>
          <w:rFonts w:ascii="Calibri" w:eastAsia="宋体" w:hAnsi="Calibri" w:cs="Times New Roman" w:hint="eastAsia"/>
          <w:szCs w:val="21"/>
        </w:rPr>
        <w:t>6</w:t>
      </w:r>
      <w:r w:rsidR="00EA5289">
        <w:rPr>
          <w:rFonts w:ascii="Calibri" w:eastAsia="宋体" w:hAnsi="Calibri" w:cs="Times New Roman" w:hint="eastAsia"/>
          <w:szCs w:val="21"/>
        </w:rPr>
        <w:t>月是半年冲刺期，因此</w:t>
      </w:r>
      <w:r>
        <w:rPr>
          <w:rFonts w:ascii="Calibri" w:eastAsia="宋体" w:hAnsi="Calibri" w:cs="Times New Roman" w:hint="eastAsia"/>
          <w:szCs w:val="21"/>
        </w:rPr>
        <w:t>月末</w:t>
      </w:r>
      <w:r w:rsidR="00EA5289">
        <w:rPr>
          <w:rFonts w:ascii="Calibri" w:eastAsia="宋体" w:hAnsi="Calibri" w:cs="Times New Roman" w:hint="eastAsia"/>
          <w:szCs w:val="21"/>
        </w:rPr>
        <w:t>产销表现</w:t>
      </w:r>
      <w:r>
        <w:rPr>
          <w:rFonts w:ascii="Calibri" w:eastAsia="宋体" w:hAnsi="Calibri" w:cs="Times New Roman" w:hint="eastAsia"/>
          <w:szCs w:val="21"/>
        </w:rPr>
        <w:t>会进一步回升</w:t>
      </w:r>
      <w:r w:rsidR="00EA5289">
        <w:rPr>
          <w:rFonts w:ascii="Calibri" w:eastAsia="宋体" w:hAnsi="Calibri" w:cs="Times New Roman" w:hint="eastAsia"/>
          <w:szCs w:val="21"/>
        </w:rPr>
        <w:t>。</w:t>
      </w:r>
    </w:p>
    <w:p w14:paraId="7FFB5602" w14:textId="77777777" w:rsidR="00914440" w:rsidRPr="002009FE" w:rsidRDefault="00914440" w:rsidP="00914440">
      <w:pPr>
        <w:ind w:firstLineChars="270" w:firstLine="567"/>
        <w:rPr>
          <w:rFonts w:ascii="Calibri" w:eastAsia="宋体" w:hAnsi="Calibri" w:cs="Times New Roman"/>
          <w:szCs w:val="21"/>
        </w:rPr>
      </w:pPr>
    </w:p>
    <w:p w14:paraId="681F8B27" w14:textId="1EB11157" w:rsidR="00914440" w:rsidRPr="002009FE" w:rsidRDefault="008A2AD1" w:rsidP="00914440">
      <w:pPr>
        <w:numPr>
          <w:ilvl w:val="0"/>
          <w:numId w:val="2"/>
        </w:numPr>
        <w:outlineLvl w:val="1"/>
        <w:rPr>
          <w:rFonts w:ascii="黑体" w:eastAsia="黑体" w:hAnsi="黑体" w:cs="Times New Roman"/>
          <w:bCs/>
          <w:sz w:val="24"/>
        </w:rPr>
      </w:pPr>
      <w:r w:rsidRPr="008A2AD1">
        <w:rPr>
          <w:rFonts w:ascii="黑体" w:eastAsia="黑体" w:hAnsi="黑体" w:cs="Times New Roman" w:hint="eastAsia"/>
          <w:bCs/>
          <w:sz w:val="24"/>
        </w:rPr>
        <w:t>中国禁售燃油车不应一刀切</w:t>
      </w:r>
    </w:p>
    <w:p w14:paraId="2B7956F0" w14:textId="7867A367" w:rsidR="008A2AD1" w:rsidRPr="008A2AD1" w:rsidRDefault="008A2AD1" w:rsidP="008A2AD1">
      <w:pPr>
        <w:ind w:firstLineChars="202" w:firstLine="424"/>
      </w:pPr>
      <w:r w:rsidRPr="008A2AD1">
        <w:rPr>
          <w:rFonts w:hint="eastAsia"/>
        </w:rPr>
        <w:t>随着愈加严苛的排放法规，以及各国各方对绿色驱动能源的推进，很多</w:t>
      </w:r>
      <w:r w:rsidR="00BF66C9">
        <w:rPr>
          <w:rFonts w:hint="eastAsia"/>
        </w:rPr>
        <w:t>国家和</w:t>
      </w:r>
      <w:r w:rsidRPr="008A2AD1">
        <w:rPr>
          <w:rFonts w:hint="eastAsia"/>
        </w:rPr>
        <w:t>车企都发布了禁售燃油车的时间表，内燃机貌似已经走到了尽头。</w:t>
      </w:r>
    </w:p>
    <w:p w14:paraId="3814C744" w14:textId="57EAE506" w:rsidR="008A2AD1" w:rsidRDefault="008A2AD1" w:rsidP="008A2AD1">
      <w:pPr>
        <w:ind w:firstLineChars="202" w:firstLine="424"/>
      </w:pPr>
      <w:r>
        <w:rPr>
          <w:rFonts w:hint="eastAsia"/>
        </w:rPr>
        <w:t>目前世界石油资源相对丰富。不仅是世界陆地石油和页岩油等资源丰富，中国也不断发现大油田。而且全球海洋油气资源十分丰富</w:t>
      </w:r>
      <w:r w:rsidR="00BF66C9">
        <w:rPr>
          <w:rFonts w:hint="eastAsia"/>
        </w:rPr>
        <w:t>，</w:t>
      </w:r>
      <w:r>
        <w:rPr>
          <w:rFonts w:hint="eastAsia"/>
        </w:rPr>
        <w:t>因此石油产业仍是巨大的产业。</w:t>
      </w:r>
    </w:p>
    <w:p w14:paraId="122EF49A" w14:textId="1B2DD1FB" w:rsidR="008A2AD1" w:rsidRDefault="008A2AD1" w:rsidP="008A2AD1">
      <w:pPr>
        <w:ind w:firstLineChars="202" w:firstLine="424"/>
      </w:pPr>
      <w:r>
        <w:rPr>
          <w:rFonts w:hint="eastAsia"/>
        </w:rPr>
        <w:t>石油被广泛用作燃油和汽油以及许多化学工业产品的原料，如溶液、化肥、杀虫剂和塑料等等。如果没有了石油，任何一个制造业生产国都将面临危机。正是因为有着极其重要的战略地位，所以石油又有黑金概念。汽油需求仍需要合理保障</w:t>
      </w:r>
      <w:r w:rsidR="00BF66C9">
        <w:rPr>
          <w:rFonts w:hint="eastAsia"/>
        </w:rPr>
        <w:t>，</w:t>
      </w:r>
      <w:r>
        <w:rPr>
          <w:rFonts w:hint="eastAsia"/>
        </w:rPr>
        <w:t>而根据石油的炼制方法，石油提炼中的汽油是必然的产品。</w:t>
      </w:r>
    </w:p>
    <w:p w14:paraId="192F7130" w14:textId="19991436" w:rsidR="008A2AD1" w:rsidRDefault="008A2AD1" w:rsidP="008A2AD1">
      <w:pPr>
        <w:ind w:firstLineChars="202" w:firstLine="424"/>
      </w:pPr>
      <w:r w:rsidRPr="008A2AD1">
        <w:rPr>
          <w:rFonts w:hint="eastAsia"/>
        </w:rPr>
        <w:t>中国禁售燃油车不应一刀切，在部分车企、应用领域</w:t>
      </w:r>
      <w:r w:rsidR="00BF66C9">
        <w:rPr>
          <w:rFonts w:hint="eastAsia"/>
        </w:rPr>
        <w:t>及</w:t>
      </w:r>
      <w:r w:rsidRPr="008A2AD1">
        <w:rPr>
          <w:rFonts w:hint="eastAsia"/>
        </w:rPr>
        <w:t>地区可能出现禁售</w:t>
      </w:r>
      <w:r>
        <w:rPr>
          <w:rFonts w:hint="eastAsia"/>
        </w:rPr>
        <w:t>或</w:t>
      </w:r>
      <w:r w:rsidRPr="008A2AD1">
        <w:rPr>
          <w:rFonts w:hint="eastAsia"/>
        </w:rPr>
        <w:t>禁用燃油车</w:t>
      </w:r>
      <w:r>
        <w:rPr>
          <w:rFonts w:hint="eastAsia"/>
        </w:rPr>
        <w:t>。</w:t>
      </w:r>
    </w:p>
    <w:p w14:paraId="78955527" w14:textId="1EE1761B" w:rsidR="00914440" w:rsidRDefault="008A2AD1" w:rsidP="008A2AD1">
      <w:pPr>
        <w:ind w:firstLineChars="202" w:firstLine="424"/>
      </w:pPr>
      <w:r w:rsidRPr="008A2AD1">
        <w:rPr>
          <w:rFonts w:hint="eastAsia"/>
        </w:rPr>
        <w:t>但中国作为世界制造业大国、地域大国和独立军事强国，中国禁售燃油车</w:t>
      </w:r>
      <w:r>
        <w:rPr>
          <w:rFonts w:hint="eastAsia"/>
        </w:rPr>
        <w:t>政策</w:t>
      </w:r>
      <w:r w:rsidRPr="008A2AD1">
        <w:rPr>
          <w:rFonts w:hint="eastAsia"/>
        </w:rPr>
        <w:t>不应</w:t>
      </w:r>
      <w:r>
        <w:rPr>
          <w:rFonts w:hint="eastAsia"/>
        </w:rPr>
        <w:t>推出</w:t>
      </w:r>
      <w:r w:rsidRPr="008A2AD1">
        <w:rPr>
          <w:rFonts w:hint="eastAsia"/>
        </w:rPr>
        <w:t>一刀切</w:t>
      </w:r>
      <w:r>
        <w:rPr>
          <w:rFonts w:hint="eastAsia"/>
        </w:rPr>
        <w:t>的时间表</w:t>
      </w:r>
      <w:r w:rsidRPr="008A2AD1">
        <w:rPr>
          <w:rFonts w:hint="eastAsia"/>
        </w:rPr>
        <w:t>。</w:t>
      </w:r>
    </w:p>
    <w:p w14:paraId="5C56C7DA" w14:textId="77777777" w:rsidR="008A2AD1" w:rsidRPr="008A2AD1" w:rsidRDefault="008A2AD1" w:rsidP="008A2AD1">
      <w:pPr>
        <w:ind w:firstLineChars="202" w:firstLine="424"/>
      </w:pPr>
    </w:p>
    <w:p w14:paraId="13F0A6A4" w14:textId="192F26B9" w:rsidR="00914440" w:rsidRPr="002009FE" w:rsidRDefault="008A2AD1" w:rsidP="00914440">
      <w:pPr>
        <w:numPr>
          <w:ilvl w:val="0"/>
          <w:numId w:val="2"/>
        </w:numPr>
        <w:outlineLvl w:val="1"/>
        <w:rPr>
          <w:rFonts w:ascii="黑体" w:eastAsia="黑体" w:hAnsi="黑体" w:cs="黑体"/>
          <w:bCs/>
          <w:sz w:val="24"/>
        </w:rPr>
      </w:pPr>
      <w:r>
        <w:rPr>
          <w:rFonts w:ascii="黑体" w:eastAsia="黑体" w:hAnsi="黑体" w:cs="黑体" w:hint="eastAsia"/>
          <w:bCs/>
          <w:sz w:val="24"/>
        </w:rPr>
        <w:t>中国汽车出口实现爆发式增长</w:t>
      </w:r>
    </w:p>
    <w:p w14:paraId="6BEE5AC0" w14:textId="59F2C630" w:rsidR="008A2AD1" w:rsidRPr="008A2AD1" w:rsidRDefault="008A2AD1" w:rsidP="008A2AD1">
      <w:pPr>
        <w:ind w:firstLineChars="202" w:firstLine="424"/>
      </w:pPr>
      <w:r w:rsidRPr="008A2AD1">
        <w:t>自2017年以来，中国汽车出口市场表现相对较强，2018年和2019年中国汽车出口都出现6%的正增长，2020年1-12月汽车出口下滑有13%，2021年1-5月在海外疫情冲击下，中国汽车出口76</w:t>
      </w:r>
      <w:r w:rsidR="002D5053">
        <w:t>万辆</w:t>
      </w:r>
      <w:r w:rsidRPr="008A2AD1">
        <w:t>，同比增长103%，中国出口市场持续走强。尤其是芯片短缺对中国汽车出口利好明显，中国对欧洲出口暴增，新能源出口欧洲2.3</w:t>
      </w:r>
      <w:r w:rsidR="002D5053">
        <w:t>万辆</w:t>
      </w:r>
      <w:r w:rsidRPr="008A2AD1">
        <w:t>，主要是出口西欧，而且对澳大利亚等国出口表现很好。</w:t>
      </w:r>
    </w:p>
    <w:p w14:paraId="2ED1B2AC" w14:textId="1E9503D6" w:rsidR="00914440" w:rsidRDefault="008A2AD1" w:rsidP="008A2AD1">
      <w:pPr>
        <w:ind w:firstLineChars="202" w:firstLine="424"/>
      </w:pPr>
      <w:r w:rsidRPr="008A2AD1">
        <w:rPr>
          <w:rFonts w:hint="eastAsia"/>
        </w:rPr>
        <w:t>出口市场增长的核心动力仍然是乘用车的增长空间，尤其是在中东和非洲等国家出口表现相对较强，而欧洲、墨西哥等市场近期较强。新能源车出口总体表现较强，虽然是新能源低速车出口下降较大，但对欧洲新能源车出口增长迅猛，上汽等</w:t>
      </w:r>
      <w:r w:rsidR="00BF66C9">
        <w:rPr>
          <w:rFonts w:hint="eastAsia"/>
        </w:rPr>
        <w:t>企业</w:t>
      </w:r>
      <w:r w:rsidRPr="008A2AD1">
        <w:rPr>
          <w:rFonts w:hint="eastAsia"/>
        </w:rPr>
        <w:t>表现较强。</w:t>
      </w:r>
    </w:p>
    <w:p w14:paraId="75DA5863" w14:textId="7F7030E6" w:rsidR="00CE4C5C" w:rsidRDefault="00CE4C5C" w:rsidP="008A2AD1">
      <w:pPr>
        <w:ind w:firstLineChars="202" w:firstLine="424"/>
      </w:pPr>
      <w:r>
        <w:rPr>
          <w:rFonts w:hint="eastAsia"/>
        </w:rPr>
        <w:t>由于欧美车企缺芯问题较重，中国车企是自主芯片供给较好，合资车企受到外方供应链的拖累而表现较差。因此在出口市场也是中国车企能保障很多国家的进口需求，且价格相对稳定，有利于与日</w:t>
      </w:r>
      <w:r w:rsidR="00AD0761">
        <w:rPr>
          <w:rFonts w:hint="eastAsia"/>
        </w:rPr>
        <w:t>、</w:t>
      </w:r>
      <w:r>
        <w:rPr>
          <w:rFonts w:hint="eastAsia"/>
        </w:rPr>
        <w:t>美</w:t>
      </w:r>
      <w:r w:rsidR="00AD0761">
        <w:rPr>
          <w:rFonts w:hint="eastAsia"/>
        </w:rPr>
        <w:t>、</w:t>
      </w:r>
      <w:r>
        <w:rPr>
          <w:rFonts w:hint="eastAsia"/>
        </w:rPr>
        <w:t>欧的二手车在发展中国家市场竞争。</w:t>
      </w:r>
    </w:p>
    <w:p w14:paraId="4C20D6B8" w14:textId="611F490E" w:rsidR="00142FE6" w:rsidRDefault="00142FE6" w:rsidP="008A2AD1">
      <w:pPr>
        <w:ind w:firstLineChars="202" w:firstLine="424"/>
      </w:pPr>
    </w:p>
    <w:p w14:paraId="5B40CB58" w14:textId="77777777" w:rsidR="000441D7" w:rsidRPr="002009FE" w:rsidRDefault="000441D7" w:rsidP="000441D7">
      <w:pPr>
        <w:numPr>
          <w:ilvl w:val="0"/>
          <w:numId w:val="2"/>
        </w:numPr>
        <w:outlineLvl w:val="1"/>
        <w:rPr>
          <w:rFonts w:ascii="黑体" w:eastAsia="黑体" w:hAnsi="黑体" w:cs="黑体"/>
          <w:bCs/>
          <w:sz w:val="24"/>
        </w:rPr>
      </w:pPr>
      <w:r>
        <w:rPr>
          <w:rFonts w:ascii="黑体" w:eastAsia="黑体" w:hAnsi="黑体" w:cs="黑体" w:hint="eastAsia"/>
          <w:bCs/>
          <w:sz w:val="24"/>
        </w:rPr>
        <w:t>芯片影响将在近期快速缓解</w:t>
      </w:r>
    </w:p>
    <w:p w14:paraId="5FC5C7E8" w14:textId="2D37A9AA" w:rsidR="000441D7" w:rsidRDefault="000441D7" w:rsidP="000441D7">
      <w:pPr>
        <w:ind w:firstLineChars="135" w:firstLine="283"/>
        <w:rPr>
          <w:rFonts w:asciiTheme="minorEastAsia" w:hAnsiTheme="minorEastAsia" w:cs="黑体"/>
          <w:bCs/>
          <w:szCs w:val="21"/>
        </w:rPr>
      </w:pPr>
      <w:r>
        <w:rPr>
          <w:rFonts w:asciiTheme="minorEastAsia" w:hAnsiTheme="minorEastAsia" w:cs="黑体" w:hint="eastAsia"/>
          <w:bCs/>
          <w:szCs w:val="21"/>
        </w:rPr>
        <w:t>汽车芯片短缺主要还是供需的暂时失衡问题，同时也是行业技术进步与产业主体需求脱节的问题。大部分主流</w:t>
      </w:r>
      <w:r w:rsidRPr="004B5223">
        <w:rPr>
          <w:rFonts w:asciiTheme="minorEastAsia" w:hAnsiTheme="minorEastAsia" w:cs="黑体" w:hint="eastAsia"/>
          <w:bCs/>
          <w:szCs w:val="21"/>
        </w:rPr>
        <w:t>车用芯片相对其他门类产品本身用量不大，</w:t>
      </w:r>
      <w:r>
        <w:rPr>
          <w:rFonts w:asciiTheme="minorEastAsia" w:hAnsiTheme="minorEastAsia" w:cs="黑体" w:hint="eastAsia"/>
          <w:bCs/>
          <w:szCs w:val="21"/>
        </w:rPr>
        <w:t>而且技术相对成熟，而随着去产能的过度，导致很多芯片企业调整产品结构，导致低端芯片生产不足。这就类似猪肉的概念，前期的猪肉出现紧张，价格暴涨，随后的生猪存量大幅增长。</w:t>
      </w:r>
    </w:p>
    <w:p w14:paraId="4193006C" w14:textId="582B13A2" w:rsidR="000441D7" w:rsidRDefault="000441D7" w:rsidP="000441D7">
      <w:pPr>
        <w:ind w:firstLineChars="135" w:firstLine="283"/>
        <w:rPr>
          <w:rFonts w:asciiTheme="minorEastAsia" w:hAnsiTheme="minorEastAsia" w:cs="黑体"/>
          <w:bCs/>
          <w:szCs w:val="21"/>
        </w:rPr>
      </w:pPr>
      <w:r>
        <w:rPr>
          <w:rFonts w:asciiTheme="minorEastAsia" w:hAnsiTheme="minorEastAsia" w:cs="黑体" w:hint="eastAsia"/>
          <w:bCs/>
          <w:szCs w:val="21"/>
        </w:rPr>
        <w:t>芯片也是类似的供需失衡，加上</w:t>
      </w:r>
      <w:r w:rsidRPr="004B5223">
        <w:rPr>
          <w:rFonts w:asciiTheme="minorEastAsia" w:hAnsiTheme="minorEastAsia" w:cs="黑体" w:hint="eastAsia"/>
          <w:bCs/>
          <w:szCs w:val="21"/>
        </w:rPr>
        <w:t>牛鞭效应</w:t>
      </w:r>
      <w:r>
        <w:rPr>
          <w:rFonts w:asciiTheme="minorEastAsia" w:hAnsiTheme="minorEastAsia" w:cs="黑体" w:hint="eastAsia"/>
          <w:bCs/>
          <w:szCs w:val="21"/>
        </w:rPr>
        <w:t>的影响。</w:t>
      </w:r>
      <w:r w:rsidRPr="004B5223">
        <w:rPr>
          <w:rFonts w:asciiTheme="minorEastAsia" w:hAnsiTheme="minorEastAsia" w:cs="黑体" w:hint="eastAsia"/>
          <w:bCs/>
          <w:szCs w:val="21"/>
        </w:rPr>
        <w:t>，牛鞭效应指供应链上的一种需求变异放大现象，使信息流从最终客户端向原始供应商端传递时，无法有效地实现信息共享，使得信息扭曲而逐级放大，导致了需求信息出现越来越大的波动，此信息扭曲的放大作用在图形上很像一个甩起的牛鞭</w:t>
      </w:r>
      <w:r>
        <w:rPr>
          <w:rFonts w:asciiTheme="minorEastAsia" w:hAnsiTheme="minorEastAsia" w:cs="黑体" w:hint="eastAsia"/>
          <w:bCs/>
          <w:szCs w:val="21"/>
        </w:rPr>
        <w:t>。在市场供给改善和恐慌心态改善后</w:t>
      </w:r>
      <w:r w:rsidR="00AD0761">
        <w:rPr>
          <w:rFonts w:asciiTheme="minorEastAsia" w:hAnsiTheme="minorEastAsia" w:cs="黑体" w:hint="eastAsia"/>
          <w:bCs/>
          <w:szCs w:val="21"/>
        </w:rPr>
        <w:t>，</w:t>
      </w:r>
      <w:r>
        <w:rPr>
          <w:rFonts w:asciiTheme="minorEastAsia" w:hAnsiTheme="minorEastAsia" w:cs="黑体" w:hint="eastAsia"/>
          <w:bCs/>
          <w:szCs w:val="21"/>
        </w:rPr>
        <w:t>供需矛盾会快速缓解。预计7月开始的芯片供给明显改善，8月就应该有明显的生产端体现。9月随着更多产能的释放，芯片问题应该基本解决。</w:t>
      </w:r>
    </w:p>
    <w:p w14:paraId="3B46FBD3" w14:textId="77777777" w:rsidR="00AD0761" w:rsidRPr="005955C7" w:rsidRDefault="00AD0761" w:rsidP="000441D7">
      <w:pPr>
        <w:ind w:firstLineChars="135" w:firstLine="283"/>
        <w:rPr>
          <w:rFonts w:asciiTheme="minorEastAsia" w:hAnsiTheme="minorEastAsia" w:cs="黑体" w:hint="eastAsia"/>
          <w:bCs/>
          <w:szCs w:val="21"/>
        </w:rPr>
      </w:pPr>
    </w:p>
    <w:p w14:paraId="3B2E68B0" w14:textId="28EC9E03" w:rsidR="00142FE6" w:rsidRPr="002009FE" w:rsidRDefault="00142FE6" w:rsidP="00142FE6">
      <w:pPr>
        <w:numPr>
          <w:ilvl w:val="0"/>
          <w:numId w:val="2"/>
        </w:numPr>
        <w:outlineLvl w:val="1"/>
        <w:rPr>
          <w:rFonts w:ascii="黑体" w:eastAsia="黑体" w:hAnsi="黑体" w:cs="黑体"/>
          <w:bCs/>
          <w:sz w:val="24"/>
        </w:rPr>
      </w:pPr>
      <w:r>
        <w:rPr>
          <w:rFonts w:ascii="黑体" w:eastAsia="黑体" w:hAnsi="黑体" w:cs="黑体" w:hint="eastAsia"/>
          <w:bCs/>
          <w:sz w:val="24"/>
        </w:rPr>
        <w:t>广州新能源鼓励政策进一步完善</w:t>
      </w:r>
    </w:p>
    <w:p w14:paraId="3A6F8FDA" w14:textId="079D06F2" w:rsidR="00142FE6" w:rsidRDefault="00142FE6" w:rsidP="00142FE6">
      <w:pPr>
        <w:ind w:firstLineChars="202" w:firstLine="424"/>
      </w:pPr>
      <w:r>
        <w:rPr>
          <w:rFonts w:hint="eastAsia"/>
        </w:rPr>
        <w:t>广州市公开征求意见，广州市将建立新能源汽车信息管理凭证发放制度，对符合要求的厂商发放《广州市新能源汽车信息管理凭证》。《凭证》施行一车一证，消费者在购买新能源汽车时，有权要求销售商出具此《凭证》。消费者需申领新能源中小客车指标办理新车注册登记的，应向广州市中小客车指标管理机构出具《凭证》。</w:t>
      </w:r>
    </w:p>
    <w:p w14:paraId="62019D55" w14:textId="77777777" w:rsidR="00142FE6" w:rsidRDefault="00142FE6" w:rsidP="00142FE6">
      <w:pPr>
        <w:ind w:firstLineChars="202" w:firstLine="424"/>
      </w:pPr>
      <w:r>
        <w:rPr>
          <w:rFonts w:hint="eastAsia"/>
        </w:rPr>
        <w:t>《通知》明确新能源汽车信息管理对象须满足</w:t>
      </w:r>
      <w:r>
        <w:t>7个条件，包括车辆型号登记备案、符合执行标准、热失控事件未致人死亡等等，其中特别提到厂商对充换电设施建设和动力蓄电池回收服务网点建设“负责”。</w:t>
      </w:r>
    </w:p>
    <w:p w14:paraId="48415041" w14:textId="05411A65" w:rsidR="00142FE6" w:rsidRDefault="0071201F" w:rsidP="00142FE6">
      <w:pPr>
        <w:ind w:firstLineChars="202" w:firstLine="424"/>
      </w:pPr>
      <w:r>
        <w:rPr>
          <w:rFonts w:hint="eastAsia"/>
        </w:rPr>
        <w:t>对</w:t>
      </w:r>
      <w:r w:rsidR="00142FE6" w:rsidRPr="00142FE6">
        <w:rPr>
          <w:rFonts w:hint="eastAsia"/>
        </w:rPr>
        <w:t>目前广州市此举</w:t>
      </w:r>
      <w:r>
        <w:rPr>
          <w:rFonts w:hint="eastAsia"/>
        </w:rPr>
        <w:t>应该</w:t>
      </w:r>
      <w:r w:rsidR="00142FE6" w:rsidRPr="00142FE6">
        <w:rPr>
          <w:rFonts w:hint="eastAsia"/>
        </w:rPr>
        <w:t>不能理解为限制绿牌。</w:t>
      </w:r>
      <w:r>
        <w:rPr>
          <w:rFonts w:hint="eastAsia"/>
        </w:rPr>
        <w:t>目前限购城市</w:t>
      </w:r>
      <w:r w:rsidR="00142FE6" w:rsidRPr="00142FE6">
        <w:rPr>
          <w:rFonts w:hint="eastAsia"/>
        </w:rPr>
        <w:t>新能源车发展进入一个相对较快发展的新阶段，所以像广州等城市会关注新能源车总体数量的发展状态，同时进行一些前瞻性</w:t>
      </w:r>
      <w:r>
        <w:rPr>
          <w:rFonts w:hint="eastAsia"/>
        </w:rPr>
        <w:t>工作布局和安排</w:t>
      </w:r>
      <w:r w:rsidR="00142FE6" w:rsidRPr="00142FE6">
        <w:rPr>
          <w:rFonts w:hint="eastAsia"/>
        </w:rPr>
        <w:t>，</w:t>
      </w:r>
      <w:r>
        <w:rPr>
          <w:rFonts w:hint="eastAsia"/>
        </w:rPr>
        <w:t>同时</w:t>
      </w:r>
      <w:r w:rsidR="00142FE6" w:rsidRPr="00142FE6">
        <w:rPr>
          <w:rFonts w:hint="eastAsia"/>
        </w:rPr>
        <w:t>如果</w:t>
      </w:r>
      <w:r w:rsidRPr="00142FE6">
        <w:rPr>
          <w:rFonts w:hint="eastAsia"/>
        </w:rPr>
        <w:t>未来</w:t>
      </w:r>
      <w:r w:rsidR="00142FE6" w:rsidRPr="00142FE6">
        <w:rPr>
          <w:rFonts w:hint="eastAsia"/>
        </w:rPr>
        <w:t>新能源车发展</w:t>
      </w:r>
      <w:r>
        <w:rPr>
          <w:rFonts w:hint="eastAsia"/>
        </w:rPr>
        <w:t>出现结构性</w:t>
      </w:r>
      <w:r w:rsidR="00142FE6" w:rsidRPr="00142FE6">
        <w:rPr>
          <w:rFonts w:hint="eastAsia"/>
        </w:rPr>
        <w:t>相对过快的话，</w:t>
      </w:r>
      <w:r>
        <w:rPr>
          <w:rFonts w:hint="eastAsia"/>
        </w:rPr>
        <w:t>也能及时</w:t>
      </w:r>
      <w:r w:rsidR="00142FE6" w:rsidRPr="00142FE6">
        <w:rPr>
          <w:rFonts w:hint="eastAsia"/>
        </w:rPr>
        <w:t>采取一些控制措施。</w:t>
      </w:r>
    </w:p>
    <w:p w14:paraId="75CFF730" w14:textId="77777777" w:rsidR="00914440" w:rsidRDefault="00914440" w:rsidP="00914440">
      <w:pPr>
        <w:rPr>
          <w:rFonts w:asciiTheme="minorEastAsia" w:hAnsiTheme="minorEastAsia" w:cs="黑体" w:hint="eastAsia"/>
          <w:bCs/>
          <w:szCs w:val="21"/>
        </w:rPr>
      </w:pPr>
    </w:p>
    <w:p w14:paraId="464AEB37" w14:textId="77777777" w:rsidR="00914440" w:rsidRPr="00066AF4" w:rsidRDefault="00914440" w:rsidP="00914440">
      <w:pPr>
        <w:rPr>
          <w:rFonts w:asciiTheme="minorEastAsia" w:hAnsiTheme="minorEastAsia" w:cs="黑体"/>
          <w:bCs/>
          <w:szCs w:val="21"/>
        </w:rPr>
      </w:pPr>
    </w:p>
    <w:p w14:paraId="432E83B5" w14:textId="77777777" w:rsidR="00914440" w:rsidRPr="00044A32" w:rsidRDefault="00914440" w:rsidP="00914440">
      <w:pPr>
        <w:outlineLvl w:val="0"/>
        <w:rPr>
          <w:b/>
        </w:rPr>
      </w:pPr>
      <w:r w:rsidRPr="00044A32">
        <w:rPr>
          <w:rFonts w:hint="eastAsia"/>
          <w:b/>
        </w:rPr>
        <w:t>二、</w:t>
      </w:r>
      <w:r w:rsidRPr="00044A32">
        <w:rPr>
          <w:rFonts w:cs="宋体" w:hint="eastAsia"/>
          <w:b/>
          <w:bCs/>
        </w:rPr>
        <w:t>本周上市新车</w:t>
      </w:r>
    </w:p>
    <w:p w14:paraId="1718A266" w14:textId="77777777" w:rsidR="00DF781C" w:rsidRPr="001433D4" w:rsidRDefault="00DF781C" w:rsidP="00DF781C">
      <w:pPr>
        <w:pStyle w:val="a8"/>
        <w:numPr>
          <w:ilvl w:val="0"/>
          <w:numId w:val="6"/>
        </w:numPr>
        <w:ind w:firstLineChars="0"/>
        <w:outlineLvl w:val="1"/>
        <w:rPr>
          <w:b/>
        </w:rPr>
      </w:pPr>
      <w:r w:rsidRPr="001433D4">
        <w:rPr>
          <w:b/>
        </w:rPr>
        <w:t>一汽-</w:t>
      </w:r>
      <w:r>
        <w:rPr>
          <w:b/>
        </w:rPr>
        <w:t>大众揽境</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DF781C" w:rsidRPr="009D57A3" w14:paraId="4B1383D0" w14:textId="77777777" w:rsidTr="00127DD1">
        <w:trPr>
          <w:tblCellSpacing w:w="15" w:type="dxa"/>
        </w:trPr>
        <w:tc>
          <w:tcPr>
            <w:tcW w:w="0" w:type="auto"/>
            <w:tcBorders>
              <w:top w:val="nil"/>
              <w:left w:val="nil"/>
              <w:bottom w:val="nil"/>
              <w:right w:val="nil"/>
            </w:tcBorders>
            <w:hideMark/>
          </w:tcPr>
          <w:p w14:paraId="271AEB10" w14:textId="77777777" w:rsidR="00DF781C" w:rsidRPr="009D57A3" w:rsidRDefault="00DF781C" w:rsidP="00127DD1">
            <w:pPr>
              <w:widowControl/>
              <w:jc w:val="left"/>
              <w:rPr>
                <w:rFonts w:ascii="宋体" w:eastAsia="宋体" w:hAnsi="宋体" w:cs="宋体"/>
                <w:kern w:val="0"/>
                <w:sz w:val="24"/>
              </w:rPr>
            </w:pPr>
          </w:p>
        </w:tc>
        <w:tc>
          <w:tcPr>
            <w:tcW w:w="0" w:type="auto"/>
            <w:tcBorders>
              <w:top w:val="nil"/>
              <w:left w:val="nil"/>
              <w:bottom w:val="nil"/>
              <w:right w:val="nil"/>
            </w:tcBorders>
            <w:hideMark/>
          </w:tcPr>
          <w:p w14:paraId="4EB88DA4" w14:textId="77777777" w:rsidR="00DF781C" w:rsidRPr="009D57A3" w:rsidRDefault="00DF781C" w:rsidP="00127DD1">
            <w:pPr>
              <w:widowControl/>
              <w:jc w:val="left"/>
              <w:rPr>
                <w:rFonts w:ascii="微软雅黑" w:eastAsia="微软雅黑" w:hAnsi="微软雅黑" w:cs="宋体"/>
                <w:color w:val="000000"/>
                <w:kern w:val="0"/>
                <w:sz w:val="27"/>
                <w:szCs w:val="27"/>
              </w:rPr>
            </w:pPr>
            <w:r w:rsidRPr="009D57A3">
              <w:rPr>
                <w:rFonts w:ascii="微软雅黑" w:eastAsia="微软雅黑" w:hAnsi="微软雅黑" w:cs="宋体"/>
                <w:noProof/>
                <w:color w:val="000000"/>
                <w:kern w:val="0"/>
                <w:sz w:val="27"/>
                <w:szCs w:val="27"/>
              </w:rPr>
              <w:drawing>
                <wp:inline distT="0" distB="0" distL="0" distR="0" wp14:anchorId="7CB2AF57" wp14:editId="2C288808">
                  <wp:extent cx="1800000" cy="1058182"/>
                  <wp:effectExtent l="0" t="0" r="0" b="8890"/>
                  <wp:docPr id="1" name="图片 1" descr="http://58.246.65.10:8231/UploadFile/20210625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58.246.65.10:8231/UploadFile/2021062501.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0000" cy="1058182"/>
                          </a:xfrm>
                          <a:prstGeom prst="rect">
                            <a:avLst/>
                          </a:prstGeom>
                          <a:noFill/>
                          <a:ln>
                            <a:noFill/>
                          </a:ln>
                        </pic:spPr>
                      </pic:pic>
                    </a:graphicData>
                  </a:graphic>
                </wp:inline>
              </w:drawing>
            </w:r>
          </w:p>
        </w:tc>
        <w:tc>
          <w:tcPr>
            <w:tcW w:w="0" w:type="auto"/>
            <w:tcBorders>
              <w:top w:val="nil"/>
              <w:left w:val="nil"/>
              <w:bottom w:val="nil"/>
              <w:right w:val="nil"/>
            </w:tcBorders>
            <w:hideMark/>
          </w:tcPr>
          <w:p w14:paraId="191EBBB3" w14:textId="77777777" w:rsidR="00DF781C" w:rsidRPr="009D57A3" w:rsidRDefault="00DF781C" w:rsidP="00127DD1">
            <w:pPr>
              <w:widowControl/>
              <w:jc w:val="left"/>
              <w:rPr>
                <w:rFonts w:ascii="微软雅黑" w:eastAsia="微软雅黑" w:hAnsi="微软雅黑" w:cs="宋体"/>
                <w:color w:val="000000"/>
                <w:kern w:val="0"/>
                <w:sz w:val="27"/>
                <w:szCs w:val="27"/>
              </w:rPr>
            </w:pPr>
          </w:p>
        </w:tc>
      </w:tr>
    </w:tbl>
    <w:p w14:paraId="46B4AED5" w14:textId="77777777" w:rsidR="00DF781C" w:rsidRDefault="00DF781C" w:rsidP="00DF781C">
      <w:r>
        <w:t>6月24日，一汽-大众揽境上市，新车共推6款，售价区间为29.99万-39.99万元。</w:t>
      </w:r>
    </w:p>
    <w:p w14:paraId="1CA40D47" w14:textId="77777777" w:rsidR="00DF781C" w:rsidRDefault="00DF781C" w:rsidP="00DF781C">
      <w:r>
        <w:rPr>
          <w:rFonts w:hint="eastAsia"/>
        </w:rPr>
        <w:t>外观方面，新车采用大众</w:t>
      </w:r>
      <w:r>
        <w:t>SMVConcept车型的设计语言，中网与大灯融合，内部增添贯穿式的镀铬装饰。</w:t>
      </w:r>
    </w:p>
    <w:p w14:paraId="5C9E25D9" w14:textId="77777777" w:rsidR="00DF781C" w:rsidRDefault="00DF781C" w:rsidP="00DF781C">
      <w:r>
        <w:rPr>
          <w:rFonts w:hint="eastAsia"/>
        </w:rPr>
        <w:t>内饰方面，新车采用全液晶仪表盘，悬浮式的中控屏，三辐式多功能方向盘，拨杆式的电子换挡。</w:t>
      </w:r>
    </w:p>
    <w:p w14:paraId="3A1ED37E" w14:textId="77777777" w:rsidR="00DF781C" w:rsidRDefault="00DF781C" w:rsidP="00DF781C">
      <w:r>
        <w:rPr>
          <w:rFonts w:hint="eastAsia"/>
        </w:rPr>
        <w:t>动力方面，新车搭载</w:t>
      </w:r>
      <w:r>
        <w:t>2.0T，2.5T发动机，匹配7DCT变速箱。</w:t>
      </w:r>
    </w:p>
    <w:p w14:paraId="4BA4648F" w14:textId="77777777" w:rsidR="00DF781C" w:rsidRDefault="00DF781C" w:rsidP="00DF781C">
      <w:pPr>
        <w:rPr>
          <w:rFonts w:cs="宋体"/>
          <w:b/>
          <w:bCs/>
          <w:i/>
          <w:iCs/>
        </w:rPr>
      </w:pPr>
      <w:r w:rsidRPr="007654C2">
        <w:rPr>
          <w:rFonts w:cs="宋体" w:hint="eastAsia"/>
          <w:b/>
          <w:bCs/>
          <w:i/>
          <w:iCs/>
        </w:rPr>
        <w:t>分析：。</w:t>
      </w:r>
    </w:p>
    <w:p w14:paraId="6C1CA4F2" w14:textId="77777777" w:rsidR="002E3716" w:rsidRPr="000916B8" w:rsidRDefault="002E3716" w:rsidP="002E3716">
      <w:pPr>
        <w:pStyle w:val="a8"/>
        <w:numPr>
          <w:ilvl w:val="0"/>
          <w:numId w:val="6"/>
        </w:numPr>
        <w:ind w:firstLineChars="0"/>
        <w:outlineLvl w:val="1"/>
        <w:rPr>
          <w:b/>
        </w:rPr>
      </w:pPr>
      <w:r w:rsidRPr="000916B8">
        <w:rPr>
          <w:b/>
        </w:rPr>
        <w:t>岚图FREE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2E3716" w:rsidRPr="009D57A3" w14:paraId="06EDAD9A" w14:textId="77777777" w:rsidTr="005123E9">
        <w:trPr>
          <w:tblCellSpacing w:w="15" w:type="dxa"/>
        </w:trPr>
        <w:tc>
          <w:tcPr>
            <w:tcW w:w="0" w:type="auto"/>
            <w:tcBorders>
              <w:top w:val="nil"/>
              <w:left w:val="nil"/>
              <w:bottom w:val="nil"/>
              <w:right w:val="nil"/>
            </w:tcBorders>
            <w:hideMark/>
          </w:tcPr>
          <w:p w14:paraId="21F0C04B" w14:textId="77777777" w:rsidR="002E3716" w:rsidRPr="009D57A3" w:rsidRDefault="002E3716" w:rsidP="005123E9">
            <w:pPr>
              <w:widowControl/>
              <w:jc w:val="left"/>
              <w:rPr>
                <w:rFonts w:ascii="宋体" w:eastAsia="宋体" w:hAnsi="宋体" w:cs="宋体"/>
                <w:kern w:val="0"/>
                <w:sz w:val="24"/>
              </w:rPr>
            </w:pPr>
          </w:p>
        </w:tc>
        <w:tc>
          <w:tcPr>
            <w:tcW w:w="0" w:type="auto"/>
            <w:tcBorders>
              <w:top w:val="nil"/>
              <w:left w:val="nil"/>
              <w:bottom w:val="nil"/>
              <w:right w:val="nil"/>
            </w:tcBorders>
            <w:hideMark/>
          </w:tcPr>
          <w:p w14:paraId="2C0DB1C6" w14:textId="77777777" w:rsidR="002E3716" w:rsidRPr="009D57A3" w:rsidRDefault="002E3716" w:rsidP="005123E9">
            <w:pPr>
              <w:widowControl/>
              <w:jc w:val="left"/>
              <w:rPr>
                <w:rFonts w:ascii="微软雅黑" w:eastAsia="微软雅黑" w:hAnsi="微软雅黑" w:cs="宋体"/>
                <w:color w:val="000000"/>
                <w:kern w:val="0"/>
                <w:sz w:val="27"/>
                <w:szCs w:val="27"/>
              </w:rPr>
            </w:pPr>
            <w:r w:rsidRPr="009D57A3">
              <w:rPr>
                <w:rFonts w:ascii="微软雅黑" w:eastAsia="微软雅黑" w:hAnsi="微软雅黑" w:cs="宋体"/>
                <w:noProof/>
                <w:color w:val="000000"/>
                <w:kern w:val="0"/>
                <w:sz w:val="27"/>
                <w:szCs w:val="27"/>
              </w:rPr>
              <w:drawing>
                <wp:inline distT="0" distB="0" distL="0" distR="0" wp14:anchorId="1B73A5AB" wp14:editId="3C8E16FD">
                  <wp:extent cx="1800000" cy="954455"/>
                  <wp:effectExtent l="0" t="0" r="0" b="0"/>
                  <wp:docPr id="31" name="图片 31" descr="http://58.246.65.10:8231/UploadFile/2021062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106210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0000" cy="954455"/>
                          </a:xfrm>
                          <a:prstGeom prst="rect">
                            <a:avLst/>
                          </a:prstGeom>
                          <a:noFill/>
                          <a:ln>
                            <a:noFill/>
                          </a:ln>
                        </pic:spPr>
                      </pic:pic>
                    </a:graphicData>
                  </a:graphic>
                </wp:inline>
              </w:drawing>
            </w:r>
          </w:p>
        </w:tc>
        <w:tc>
          <w:tcPr>
            <w:tcW w:w="0" w:type="auto"/>
            <w:tcBorders>
              <w:top w:val="nil"/>
              <w:left w:val="nil"/>
              <w:bottom w:val="nil"/>
              <w:right w:val="nil"/>
            </w:tcBorders>
            <w:hideMark/>
          </w:tcPr>
          <w:p w14:paraId="2469B912" w14:textId="77777777" w:rsidR="002E3716" w:rsidRPr="009D57A3" w:rsidRDefault="002E3716" w:rsidP="005123E9">
            <w:pPr>
              <w:widowControl/>
              <w:jc w:val="left"/>
              <w:rPr>
                <w:rFonts w:ascii="微软雅黑" w:eastAsia="微软雅黑" w:hAnsi="微软雅黑" w:cs="宋体"/>
                <w:color w:val="000000"/>
                <w:kern w:val="0"/>
                <w:sz w:val="27"/>
                <w:szCs w:val="27"/>
              </w:rPr>
            </w:pPr>
          </w:p>
        </w:tc>
      </w:tr>
    </w:tbl>
    <w:p w14:paraId="67299A0D" w14:textId="77777777" w:rsidR="002E3716" w:rsidRDefault="002E3716" w:rsidP="002E3716">
      <w:r>
        <w:t>6月19日，岚图FREE上市，新车共推2款车型，售价区间为31.36万-33.36万元。</w:t>
      </w:r>
    </w:p>
    <w:p w14:paraId="4207CBE6" w14:textId="77777777" w:rsidR="002E3716" w:rsidRDefault="002E3716" w:rsidP="002E3716">
      <w:r>
        <w:rPr>
          <w:rFonts w:hint="eastAsia"/>
        </w:rPr>
        <w:t>外观方面，新车采用多边形前进气格栅，直瀑式中网设计。</w:t>
      </w:r>
    </w:p>
    <w:p w14:paraId="402614F7" w14:textId="77777777" w:rsidR="002E3716" w:rsidRDefault="002E3716" w:rsidP="002E3716">
      <w:r>
        <w:rPr>
          <w:rFonts w:hint="eastAsia"/>
        </w:rPr>
        <w:t>内饰方面，新车采用贯穿式三联屏设计，三辐式多功能方向盘。</w:t>
      </w:r>
    </w:p>
    <w:p w14:paraId="0FFF1C7A" w14:textId="77777777" w:rsidR="002E3716" w:rsidRDefault="002E3716" w:rsidP="002E3716">
      <w:r>
        <w:rPr>
          <w:rFonts w:hint="eastAsia"/>
        </w:rPr>
        <w:t>配置方面，新车配备方向盘加热、</w:t>
      </w:r>
      <w:r>
        <w:t>HiCar车机系统、主动夜视行车系统等。</w:t>
      </w:r>
    </w:p>
    <w:p w14:paraId="48F43881" w14:textId="77777777" w:rsidR="002E3716" w:rsidRDefault="002E3716" w:rsidP="002E3716">
      <w:r>
        <w:rPr>
          <w:rFonts w:hint="eastAsia"/>
        </w:rPr>
        <w:t>动力方面，新车搭载</w:t>
      </w:r>
      <w:r>
        <w:t>1.5L发动机或电动机，纯电版本NEDC续航里程为475km和505km。</w:t>
      </w:r>
    </w:p>
    <w:p w14:paraId="5C2891F1" w14:textId="77777777" w:rsidR="002E3716" w:rsidRDefault="002E3716" w:rsidP="002E3716">
      <w:pPr>
        <w:rPr>
          <w:rFonts w:cs="宋体"/>
          <w:b/>
          <w:bCs/>
          <w:i/>
          <w:iCs/>
        </w:rPr>
      </w:pPr>
      <w:r w:rsidRPr="007654C2">
        <w:rPr>
          <w:rFonts w:cs="宋体" w:hint="eastAsia"/>
          <w:b/>
          <w:bCs/>
          <w:i/>
          <w:iCs/>
        </w:rPr>
        <w:t>分析：。</w:t>
      </w:r>
    </w:p>
    <w:p w14:paraId="1464C97A" w14:textId="77777777" w:rsidR="00920247" w:rsidRPr="000916B8" w:rsidRDefault="00920247" w:rsidP="00914440">
      <w:pPr>
        <w:pStyle w:val="a8"/>
        <w:numPr>
          <w:ilvl w:val="0"/>
          <w:numId w:val="6"/>
        </w:numPr>
        <w:ind w:firstLineChars="0"/>
        <w:outlineLvl w:val="1"/>
        <w:rPr>
          <w:b/>
        </w:rPr>
      </w:pPr>
      <w:r w:rsidRPr="000916B8">
        <w:rPr>
          <w:b/>
        </w:rPr>
        <w:t>红旗E-QM5</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920247" w:rsidRPr="009D57A3" w14:paraId="2CF70280" w14:textId="77777777" w:rsidTr="00D12D3C">
        <w:trPr>
          <w:tblCellSpacing w:w="15" w:type="dxa"/>
        </w:trPr>
        <w:tc>
          <w:tcPr>
            <w:tcW w:w="0" w:type="auto"/>
            <w:tcBorders>
              <w:top w:val="nil"/>
              <w:left w:val="nil"/>
              <w:bottom w:val="nil"/>
              <w:right w:val="nil"/>
            </w:tcBorders>
            <w:hideMark/>
          </w:tcPr>
          <w:p w14:paraId="799201D8" w14:textId="77777777" w:rsidR="00920247" w:rsidRPr="009D57A3" w:rsidRDefault="00920247" w:rsidP="00D12D3C">
            <w:pPr>
              <w:widowControl/>
              <w:jc w:val="left"/>
              <w:rPr>
                <w:rFonts w:ascii="宋体" w:eastAsia="宋体" w:hAnsi="宋体" w:cs="宋体"/>
                <w:kern w:val="0"/>
                <w:sz w:val="24"/>
              </w:rPr>
            </w:pPr>
          </w:p>
        </w:tc>
        <w:tc>
          <w:tcPr>
            <w:tcW w:w="0" w:type="auto"/>
            <w:tcBorders>
              <w:top w:val="nil"/>
              <w:left w:val="nil"/>
              <w:bottom w:val="nil"/>
              <w:right w:val="nil"/>
            </w:tcBorders>
            <w:hideMark/>
          </w:tcPr>
          <w:p w14:paraId="715DA1F8" w14:textId="77777777" w:rsidR="00920247" w:rsidRPr="009D57A3" w:rsidRDefault="00920247" w:rsidP="00D12D3C">
            <w:pPr>
              <w:widowControl/>
              <w:jc w:val="left"/>
              <w:rPr>
                <w:rFonts w:ascii="微软雅黑" w:eastAsia="微软雅黑" w:hAnsi="微软雅黑" w:cs="宋体"/>
                <w:color w:val="000000"/>
                <w:kern w:val="0"/>
                <w:sz w:val="27"/>
                <w:szCs w:val="27"/>
              </w:rPr>
            </w:pPr>
            <w:r w:rsidRPr="009D57A3">
              <w:rPr>
                <w:rFonts w:ascii="微软雅黑" w:eastAsia="微软雅黑" w:hAnsi="微软雅黑" w:cs="宋体"/>
                <w:noProof/>
                <w:color w:val="000000"/>
                <w:kern w:val="0"/>
                <w:sz w:val="27"/>
                <w:szCs w:val="27"/>
              </w:rPr>
              <w:drawing>
                <wp:inline distT="0" distB="0" distL="0" distR="0" wp14:anchorId="124A4B2B" wp14:editId="3E213159">
                  <wp:extent cx="1800000" cy="1023265"/>
                  <wp:effectExtent l="0" t="0" r="0" b="5715"/>
                  <wp:docPr id="29" name="图片 29" descr="http://58.246.65.10:8231/UploadFile/20210623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58.246.65.10:8231/UploadFile/2021062303.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1023265"/>
                          </a:xfrm>
                          <a:prstGeom prst="rect">
                            <a:avLst/>
                          </a:prstGeom>
                          <a:noFill/>
                          <a:ln>
                            <a:noFill/>
                          </a:ln>
                        </pic:spPr>
                      </pic:pic>
                    </a:graphicData>
                  </a:graphic>
                </wp:inline>
              </w:drawing>
            </w:r>
          </w:p>
        </w:tc>
        <w:tc>
          <w:tcPr>
            <w:tcW w:w="0" w:type="auto"/>
            <w:tcBorders>
              <w:top w:val="nil"/>
              <w:left w:val="nil"/>
              <w:bottom w:val="nil"/>
              <w:right w:val="nil"/>
            </w:tcBorders>
            <w:hideMark/>
          </w:tcPr>
          <w:p w14:paraId="301B9384" w14:textId="77777777" w:rsidR="00920247" w:rsidRPr="009D57A3" w:rsidRDefault="00920247" w:rsidP="00D12D3C">
            <w:pPr>
              <w:widowControl/>
              <w:jc w:val="left"/>
              <w:rPr>
                <w:rFonts w:ascii="微软雅黑" w:eastAsia="微软雅黑" w:hAnsi="微软雅黑" w:cs="宋体"/>
                <w:color w:val="000000"/>
                <w:kern w:val="0"/>
                <w:sz w:val="27"/>
                <w:szCs w:val="27"/>
              </w:rPr>
            </w:pPr>
          </w:p>
        </w:tc>
      </w:tr>
    </w:tbl>
    <w:p w14:paraId="1B27B049" w14:textId="77777777" w:rsidR="00920247" w:rsidRDefault="00920247" w:rsidP="00914440">
      <w:r>
        <w:t>6月22日，红旗E-QM5上市，新车共推出3款车型，售价均为23.98万元。</w:t>
      </w:r>
    </w:p>
    <w:p w14:paraId="5CA29472" w14:textId="77777777" w:rsidR="00920247" w:rsidRDefault="00920247" w:rsidP="00914440">
      <w:r>
        <w:rPr>
          <w:rFonts w:hint="eastAsia"/>
        </w:rPr>
        <w:t>外观方面，新车采用直瀑式镀铬饰条的封闭式格栅，分体式大灯。</w:t>
      </w:r>
    </w:p>
    <w:p w14:paraId="6425AE88" w14:textId="77777777" w:rsidR="00920247" w:rsidRDefault="00920247" w:rsidP="00914440">
      <w:r>
        <w:rPr>
          <w:rFonts w:hint="eastAsia"/>
        </w:rPr>
        <w:t>内饰方面，新车采用大尺寸仪表屏，悬浮式中控屏，电子挡把。</w:t>
      </w:r>
    </w:p>
    <w:p w14:paraId="14A57E70" w14:textId="77777777" w:rsidR="00920247" w:rsidRDefault="00920247" w:rsidP="00914440">
      <w:r>
        <w:rPr>
          <w:rFonts w:hint="eastAsia"/>
        </w:rPr>
        <w:t>配置方面，新车配备皮制座椅，后排中央扶手控制按键，带腿托的座椅。</w:t>
      </w:r>
    </w:p>
    <w:p w14:paraId="2BF038CC" w14:textId="77777777" w:rsidR="00920247" w:rsidRDefault="00920247" w:rsidP="00914440">
      <w:r>
        <w:rPr>
          <w:rFonts w:hint="eastAsia"/>
        </w:rPr>
        <w:t>动力方面，新车搭载纯电动机，</w:t>
      </w:r>
      <w:r>
        <w:t>NEDC续航里程达431km。</w:t>
      </w:r>
    </w:p>
    <w:p w14:paraId="39BFC719" w14:textId="77777777" w:rsidR="00920247" w:rsidRDefault="00920247" w:rsidP="00914440">
      <w:pPr>
        <w:rPr>
          <w:rFonts w:cs="宋体"/>
          <w:b/>
          <w:bCs/>
          <w:i/>
          <w:iCs/>
        </w:rPr>
      </w:pPr>
      <w:r w:rsidRPr="007654C2">
        <w:rPr>
          <w:rFonts w:cs="宋体" w:hint="eastAsia"/>
          <w:b/>
          <w:bCs/>
          <w:i/>
          <w:iCs/>
        </w:rPr>
        <w:t>分析：。</w:t>
      </w:r>
    </w:p>
    <w:p w14:paraId="0D45CD85" w14:textId="77777777" w:rsidR="00920247" w:rsidRPr="000916B8" w:rsidRDefault="00920247" w:rsidP="00914440">
      <w:pPr>
        <w:pStyle w:val="a8"/>
        <w:numPr>
          <w:ilvl w:val="0"/>
          <w:numId w:val="6"/>
        </w:numPr>
        <w:ind w:firstLineChars="0"/>
        <w:outlineLvl w:val="1"/>
        <w:rPr>
          <w:b/>
        </w:rPr>
      </w:pPr>
      <w:r w:rsidRPr="000916B8">
        <w:rPr>
          <w:b/>
        </w:rPr>
        <w:t>几何APro</w:t>
      </w:r>
      <w:r>
        <w:rPr>
          <w:b/>
        </w:rPr>
        <w:t>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920247" w:rsidRPr="009D57A3" w14:paraId="6ABBCB0A" w14:textId="77777777" w:rsidTr="00D12D3C">
        <w:trPr>
          <w:tblCellSpacing w:w="15" w:type="dxa"/>
        </w:trPr>
        <w:tc>
          <w:tcPr>
            <w:tcW w:w="0" w:type="auto"/>
            <w:tcBorders>
              <w:top w:val="nil"/>
              <w:left w:val="nil"/>
              <w:bottom w:val="nil"/>
              <w:right w:val="nil"/>
            </w:tcBorders>
            <w:hideMark/>
          </w:tcPr>
          <w:p w14:paraId="49EA2D13" w14:textId="77777777" w:rsidR="00920247" w:rsidRPr="009D57A3" w:rsidRDefault="00920247" w:rsidP="00D12D3C">
            <w:pPr>
              <w:widowControl/>
              <w:jc w:val="left"/>
              <w:rPr>
                <w:rFonts w:ascii="宋体" w:eastAsia="宋体" w:hAnsi="宋体" w:cs="宋体"/>
                <w:kern w:val="0"/>
                <w:sz w:val="24"/>
              </w:rPr>
            </w:pPr>
          </w:p>
        </w:tc>
        <w:tc>
          <w:tcPr>
            <w:tcW w:w="0" w:type="auto"/>
            <w:tcBorders>
              <w:top w:val="nil"/>
              <w:left w:val="nil"/>
              <w:bottom w:val="nil"/>
              <w:right w:val="nil"/>
            </w:tcBorders>
            <w:hideMark/>
          </w:tcPr>
          <w:p w14:paraId="37D00FDD" w14:textId="77777777" w:rsidR="00920247" w:rsidRPr="009D57A3" w:rsidRDefault="00920247" w:rsidP="00D12D3C">
            <w:pPr>
              <w:widowControl/>
              <w:jc w:val="left"/>
              <w:rPr>
                <w:rFonts w:ascii="微软雅黑" w:eastAsia="微软雅黑" w:hAnsi="微软雅黑" w:cs="宋体"/>
                <w:color w:val="000000"/>
                <w:kern w:val="0"/>
                <w:sz w:val="27"/>
                <w:szCs w:val="27"/>
              </w:rPr>
            </w:pPr>
            <w:r w:rsidRPr="009D57A3">
              <w:rPr>
                <w:rFonts w:ascii="微软雅黑" w:eastAsia="微软雅黑" w:hAnsi="微软雅黑" w:cs="宋体"/>
                <w:noProof/>
                <w:color w:val="000000"/>
                <w:kern w:val="0"/>
                <w:sz w:val="27"/>
                <w:szCs w:val="27"/>
              </w:rPr>
              <w:drawing>
                <wp:inline distT="0" distB="0" distL="0" distR="0" wp14:anchorId="7727D75C" wp14:editId="2EAE55C3">
                  <wp:extent cx="1800000" cy="980750"/>
                  <wp:effectExtent l="0" t="0" r="0" b="0"/>
                  <wp:docPr id="21" name="图片 21" descr="http://58.246.65.10:8231/UploadFile/20210621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58.246.65.10:8231/UploadFile/2021062105.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980750"/>
                          </a:xfrm>
                          <a:prstGeom prst="rect">
                            <a:avLst/>
                          </a:prstGeom>
                          <a:noFill/>
                          <a:ln>
                            <a:noFill/>
                          </a:ln>
                        </pic:spPr>
                      </pic:pic>
                    </a:graphicData>
                  </a:graphic>
                </wp:inline>
              </w:drawing>
            </w:r>
          </w:p>
        </w:tc>
        <w:tc>
          <w:tcPr>
            <w:tcW w:w="0" w:type="auto"/>
            <w:tcBorders>
              <w:top w:val="nil"/>
              <w:left w:val="nil"/>
              <w:bottom w:val="nil"/>
              <w:right w:val="nil"/>
            </w:tcBorders>
            <w:hideMark/>
          </w:tcPr>
          <w:p w14:paraId="43FD6295" w14:textId="77777777" w:rsidR="00920247" w:rsidRPr="009D57A3" w:rsidRDefault="00920247" w:rsidP="00D12D3C">
            <w:pPr>
              <w:widowControl/>
              <w:jc w:val="left"/>
              <w:rPr>
                <w:rFonts w:ascii="微软雅黑" w:eastAsia="微软雅黑" w:hAnsi="微软雅黑" w:cs="宋体"/>
                <w:color w:val="000000"/>
                <w:kern w:val="0"/>
                <w:sz w:val="27"/>
                <w:szCs w:val="27"/>
              </w:rPr>
            </w:pPr>
          </w:p>
        </w:tc>
      </w:tr>
    </w:tbl>
    <w:p w14:paraId="41692177" w14:textId="77777777" w:rsidR="00920247" w:rsidRDefault="00920247" w:rsidP="00914440">
      <w:r>
        <w:t>6月19日，几何APro新车型上市，新车补贴后售价为17.87万元，享受国补1.8万元。</w:t>
      </w:r>
    </w:p>
    <w:p w14:paraId="79359C1B" w14:textId="77777777" w:rsidR="00920247" w:rsidRDefault="00920247" w:rsidP="00914440">
      <w:r>
        <w:rPr>
          <w:rFonts w:hint="eastAsia"/>
        </w:rPr>
        <w:t>外观方面，新车采用封闭式的前格栅，两侧大灯组采用狭长的设计。</w:t>
      </w:r>
    </w:p>
    <w:p w14:paraId="18B2BBC3" w14:textId="77777777" w:rsidR="00920247" w:rsidRDefault="00920247" w:rsidP="00914440">
      <w:r>
        <w:rPr>
          <w:rFonts w:hint="eastAsia"/>
        </w:rPr>
        <w:t>配置方面，新车配备大灯自动感光开启、大灯电动高度调节、大灯自动感应控制、电动式无影门把手、倒车雷达、前驻车雷达等。</w:t>
      </w:r>
    </w:p>
    <w:p w14:paraId="1BD9D65F" w14:textId="77777777" w:rsidR="00920247" w:rsidRDefault="00920247" w:rsidP="00914440">
      <w:r>
        <w:rPr>
          <w:rFonts w:hint="eastAsia"/>
        </w:rPr>
        <w:t>动力方面，新车搭载电动机，</w:t>
      </w:r>
      <w:r>
        <w:t>NEDC续航里程为430km。</w:t>
      </w:r>
    </w:p>
    <w:p w14:paraId="0F01CCA3" w14:textId="77777777" w:rsidR="00920247" w:rsidRDefault="00920247" w:rsidP="00914440">
      <w:pPr>
        <w:rPr>
          <w:rFonts w:cs="宋体"/>
          <w:b/>
          <w:bCs/>
          <w:i/>
          <w:iCs/>
        </w:rPr>
      </w:pPr>
      <w:r w:rsidRPr="007654C2">
        <w:rPr>
          <w:rFonts w:cs="宋体" w:hint="eastAsia"/>
          <w:b/>
          <w:bCs/>
          <w:i/>
          <w:iCs/>
        </w:rPr>
        <w:t>分析：。</w:t>
      </w:r>
    </w:p>
    <w:p w14:paraId="751ACA36" w14:textId="77777777" w:rsidR="00DF781C" w:rsidRPr="000916B8" w:rsidRDefault="00DF781C" w:rsidP="00DF781C">
      <w:pPr>
        <w:pStyle w:val="a8"/>
        <w:numPr>
          <w:ilvl w:val="0"/>
          <w:numId w:val="6"/>
        </w:numPr>
        <w:ind w:firstLineChars="0"/>
        <w:outlineLvl w:val="1"/>
        <w:rPr>
          <w:b/>
        </w:rPr>
      </w:pPr>
      <w:r w:rsidRPr="000916B8">
        <w:rPr>
          <w:b/>
        </w:rPr>
        <w:t>别克昂科威Plus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DF781C" w:rsidRPr="009D57A3" w14:paraId="6D600D33" w14:textId="77777777" w:rsidTr="000C2E26">
        <w:trPr>
          <w:tblCellSpacing w:w="15" w:type="dxa"/>
        </w:trPr>
        <w:tc>
          <w:tcPr>
            <w:tcW w:w="0" w:type="auto"/>
            <w:tcBorders>
              <w:top w:val="nil"/>
              <w:left w:val="nil"/>
              <w:bottom w:val="nil"/>
              <w:right w:val="nil"/>
            </w:tcBorders>
            <w:hideMark/>
          </w:tcPr>
          <w:p w14:paraId="1FCC6837" w14:textId="77777777" w:rsidR="00DF781C" w:rsidRPr="009D57A3" w:rsidRDefault="00DF781C" w:rsidP="000C2E26">
            <w:pPr>
              <w:widowControl/>
              <w:jc w:val="left"/>
              <w:rPr>
                <w:rFonts w:ascii="宋体" w:eastAsia="宋体" w:hAnsi="宋体" w:cs="宋体"/>
                <w:kern w:val="0"/>
                <w:sz w:val="24"/>
              </w:rPr>
            </w:pPr>
          </w:p>
        </w:tc>
        <w:tc>
          <w:tcPr>
            <w:tcW w:w="0" w:type="auto"/>
            <w:tcBorders>
              <w:top w:val="nil"/>
              <w:left w:val="nil"/>
              <w:bottom w:val="nil"/>
              <w:right w:val="nil"/>
            </w:tcBorders>
            <w:hideMark/>
          </w:tcPr>
          <w:p w14:paraId="7FC6BD59" w14:textId="77777777" w:rsidR="00DF781C" w:rsidRPr="009D57A3" w:rsidRDefault="00DF781C" w:rsidP="000C2E26">
            <w:pPr>
              <w:widowControl/>
              <w:jc w:val="left"/>
              <w:rPr>
                <w:rFonts w:ascii="微软雅黑" w:eastAsia="微软雅黑" w:hAnsi="微软雅黑" w:cs="宋体"/>
                <w:color w:val="000000"/>
                <w:kern w:val="0"/>
                <w:sz w:val="27"/>
                <w:szCs w:val="27"/>
              </w:rPr>
            </w:pPr>
            <w:r w:rsidRPr="009D57A3">
              <w:rPr>
                <w:rFonts w:ascii="微软雅黑" w:eastAsia="微软雅黑" w:hAnsi="微软雅黑" w:cs="宋体"/>
                <w:noProof/>
                <w:color w:val="000000"/>
                <w:kern w:val="0"/>
                <w:sz w:val="27"/>
                <w:szCs w:val="27"/>
              </w:rPr>
              <w:drawing>
                <wp:inline distT="0" distB="0" distL="0" distR="0" wp14:anchorId="233563AB" wp14:editId="193982C4">
                  <wp:extent cx="1800000" cy="1312242"/>
                  <wp:effectExtent l="0" t="0" r="0" b="2540"/>
                  <wp:docPr id="28" name="图片 28" descr="http://58.246.65.10:8231/UploadFile/2021062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1062101.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0000" cy="1312242"/>
                          </a:xfrm>
                          <a:prstGeom prst="rect">
                            <a:avLst/>
                          </a:prstGeom>
                          <a:noFill/>
                          <a:ln>
                            <a:noFill/>
                          </a:ln>
                        </pic:spPr>
                      </pic:pic>
                    </a:graphicData>
                  </a:graphic>
                </wp:inline>
              </w:drawing>
            </w:r>
          </w:p>
        </w:tc>
        <w:tc>
          <w:tcPr>
            <w:tcW w:w="0" w:type="auto"/>
            <w:tcBorders>
              <w:top w:val="nil"/>
              <w:left w:val="nil"/>
              <w:bottom w:val="nil"/>
              <w:right w:val="nil"/>
            </w:tcBorders>
            <w:hideMark/>
          </w:tcPr>
          <w:p w14:paraId="065B0874" w14:textId="77777777" w:rsidR="00DF781C" w:rsidRPr="009D57A3" w:rsidRDefault="00DF781C" w:rsidP="000C2E26">
            <w:pPr>
              <w:widowControl/>
              <w:jc w:val="left"/>
              <w:rPr>
                <w:rFonts w:ascii="微软雅黑" w:eastAsia="微软雅黑" w:hAnsi="微软雅黑" w:cs="宋体"/>
                <w:color w:val="000000"/>
                <w:kern w:val="0"/>
                <w:sz w:val="27"/>
                <w:szCs w:val="27"/>
              </w:rPr>
            </w:pPr>
          </w:p>
        </w:tc>
      </w:tr>
    </w:tbl>
    <w:p w14:paraId="18E74D2C" w14:textId="77777777" w:rsidR="00DF781C" w:rsidRDefault="00DF781C" w:rsidP="00DF781C">
      <w:r>
        <w:t>6月19日，别克昂科威Plus上市，新车共推5款车型，售价区间为22.99万-30.99万元。</w:t>
      </w:r>
    </w:p>
    <w:p w14:paraId="7C885D55" w14:textId="77777777" w:rsidR="00DF781C" w:rsidRDefault="00DF781C" w:rsidP="00DF781C">
      <w:r>
        <w:rPr>
          <w:rFonts w:hint="eastAsia"/>
        </w:rPr>
        <w:t>外观方面，新车采用编织菱形中网，矩阵式全</w:t>
      </w:r>
      <w:r>
        <w:t>LED像素式头灯。</w:t>
      </w:r>
    </w:p>
    <w:p w14:paraId="1671899B" w14:textId="77777777" w:rsidR="00DF781C" w:rsidRDefault="00DF781C" w:rsidP="00DF781C">
      <w:r>
        <w:rPr>
          <w:rFonts w:hint="eastAsia"/>
        </w:rPr>
        <w:t>内饰方面，新车采用偏向驾驶侧的倾斜设计和大量的皮质包裹。</w:t>
      </w:r>
    </w:p>
    <w:p w14:paraId="1CB8BF60" w14:textId="77777777" w:rsidR="00DF781C" w:rsidRDefault="00DF781C" w:rsidP="00DF781C">
      <w:r>
        <w:rPr>
          <w:rFonts w:hint="eastAsia"/>
        </w:rPr>
        <w:t>配置方面，新车配备第二代高清流媒体内后视镜、</w:t>
      </w:r>
      <w:r>
        <w:t>HUD平视系统、10英寸中控触摸屏等。</w:t>
      </w:r>
    </w:p>
    <w:p w14:paraId="769284F6" w14:textId="77777777" w:rsidR="00DF781C" w:rsidRDefault="00DF781C" w:rsidP="00DF781C">
      <w:r>
        <w:rPr>
          <w:rFonts w:hint="eastAsia"/>
        </w:rPr>
        <w:t>动力方面，新车搭载</w:t>
      </w:r>
      <w:r>
        <w:t>2.0T发动机，匹配9TIP变速箱。</w:t>
      </w:r>
    </w:p>
    <w:p w14:paraId="6E03CF52" w14:textId="77777777" w:rsidR="00DF781C" w:rsidRDefault="00DF781C" w:rsidP="00DF781C">
      <w:pPr>
        <w:rPr>
          <w:rFonts w:cs="宋体"/>
          <w:b/>
          <w:bCs/>
          <w:i/>
          <w:iCs/>
        </w:rPr>
      </w:pPr>
      <w:r w:rsidRPr="007654C2">
        <w:rPr>
          <w:rFonts w:cs="宋体" w:hint="eastAsia"/>
          <w:b/>
          <w:bCs/>
          <w:i/>
          <w:iCs/>
        </w:rPr>
        <w:t>分析：。</w:t>
      </w:r>
    </w:p>
    <w:p w14:paraId="7B520162" w14:textId="77777777" w:rsidR="00920247" w:rsidRPr="00471160" w:rsidRDefault="00920247" w:rsidP="00914440">
      <w:pPr>
        <w:pStyle w:val="a8"/>
        <w:numPr>
          <w:ilvl w:val="0"/>
          <w:numId w:val="6"/>
        </w:numPr>
        <w:ind w:firstLineChars="0"/>
        <w:outlineLvl w:val="1"/>
        <w:rPr>
          <w:b/>
        </w:rPr>
      </w:pPr>
      <w:r w:rsidRPr="00471160">
        <w:rPr>
          <w:b/>
        </w:rPr>
        <w:t>新款AIONSPlus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920247" w:rsidRPr="009D57A3" w14:paraId="7D9AB4CD" w14:textId="77777777" w:rsidTr="00D12D3C">
        <w:trPr>
          <w:tblCellSpacing w:w="15" w:type="dxa"/>
        </w:trPr>
        <w:tc>
          <w:tcPr>
            <w:tcW w:w="0" w:type="auto"/>
            <w:tcBorders>
              <w:top w:val="nil"/>
              <w:left w:val="nil"/>
              <w:bottom w:val="nil"/>
              <w:right w:val="nil"/>
            </w:tcBorders>
            <w:hideMark/>
          </w:tcPr>
          <w:p w14:paraId="140BF727" w14:textId="77777777" w:rsidR="00920247" w:rsidRPr="009D57A3" w:rsidRDefault="00920247" w:rsidP="00D12D3C">
            <w:pPr>
              <w:widowControl/>
              <w:jc w:val="left"/>
              <w:rPr>
                <w:rFonts w:ascii="宋体" w:eastAsia="宋体" w:hAnsi="宋体" w:cs="宋体"/>
                <w:kern w:val="0"/>
                <w:sz w:val="24"/>
              </w:rPr>
            </w:pPr>
          </w:p>
        </w:tc>
        <w:tc>
          <w:tcPr>
            <w:tcW w:w="0" w:type="auto"/>
            <w:tcBorders>
              <w:top w:val="nil"/>
              <w:left w:val="nil"/>
              <w:bottom w:val="nil"/>
              <w:right w:val="nil"/>
            </w:tcBorders>
            <w:hideMark/>
          </w:tcPr>
          <w:p w14:paraId="2A155209" w14:textId="77777777" w:rsidR="00920247" w:rsidRPr="009D57A3" w:rsidRDefault="00920247" w:rsidP="00D12D3C">
            <w:pPr>
              <w:widowControl/>
              <w:jc w:val="left"/>
              <w:rPr>
                <w:rFonts w:ascii="微软雅黑" w:eastAsia="微软雅黑" w:hAnsi="微软雅黑" w:cs="宋体"/>
                <w:color w:val="000000"/>
                <w:kern w:val="0"/>
                <w:sz w:val="27"/>
                <w:szCs w:val="27"/>
              </w:rPr>
            </w:pPr>
            <w:r w:rsidRPr="009D57A3">
              <w:rPr>
                <w:rFonts w:ascii="微软雅黑" w:eastAsia="微软雅黑" w:hAnsi="微软雅黑" w:cs="宋体"/>
                <w:noProof/>
                <w:color w:val="000000"/>
                <w:kern w:val="0"/>
                <w:sz w:val="27"/>
                <w:szCs w:val="27"/>
              </w:rPr>
              <w:drawing>
                <wp:inline distT="0" distB="0" distL="0" distR="0" wp14:anchorId="785867C0" wp14:editId="4BF9B9C0">
                  <wp:extent cx="1800000" cy="1006061"/>
                  <wp:effectExtent l="0" t="0" r="0" b="3810"/>
                  <wp:docPr id="12" name="图片 12" descr="http://58.246.65.10:8231/UploadFile/20210624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58.246.65.10:8231/UploadFile/2021062401.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0000" cy="1006061"/>
                          </a:xfrm>
                          <a:prstGeom prst="rect">
                            <a:avLst/>
                          </a:prstGeom>
                          <a:noFill/>
                          <a:ln>
                            <a:noFill/>
                          </a:ln>
                        </pic:spPr>
                      </pic:pic>
                    </a:graphicData>
                  </a:graphic>
                </wp:inline>
              </w:drawing>
            </w:r>
          </w:p>
        </w:tc>
        <w:tc>
          <w:tcPr>
            <w:tcW w:w="0" w:type="auto"/>
            <w:tcBorders>
              <w:top w:val="nil"/>
              <w:left w:val="nil"/>
              <w:bottom w:val="nil"/>
              <w:right w:val="nil"/>
            </w:tcBorders>
            <w:hideMark/>
          </w:tcPr>
          <w:p w14:paraId="0EF8E5F6" w14:textId="77777777" w:rsidR="00920247" w:rsidRPr="009D57A3" w:rsidRDefault="00920247" w:rsidP="00D12D3C">
            <w:pPr>
              <w:widowControl/>
              <w:jc w:val="left"/>
              <w:rPr>
                <w:rFonts w:ascii="微软雅黑" w:eastAsia="微软雅黑" w:hAnsi="微软雅黑" w:cs="宋体"/>
                <w:color w:val="000000"/>
                <w:kern w:val="0"/>
                <w:sz w:val="27"/>
                <w:szCs w:val="27"/>
              </w:rPr>
            </w:pPr>
          </w:p>
        </w:tc>
      </w:tr>
    </w:tbl>
    <w:p w14:paraId="331723A5" w14:textId="77777777" w:rsidR="00920247" w:rsidRDefault="00920247" w:rsidP="00914440">
      <w:r>
        <w:t>6月23日，新款AIONSPlus上市，新车共推5款车型，售价区间为13.96万-17.26万元，享受国补1.44-1.8万元。</w:t>
      </w:r>
    </w:p>
    <w:p w14:paraId="19BF3E7F" w14:textId="77777777" w:rsidR="00920247" w:rsidRDefault="00920247" w:rsidP="00914440">
      <w:r>
        <w:rPr>
          <w:rFonts w:hint="eastAsia"/>
        </w:rPr>
        <w:t>外观方面，新车采用封闭式格栅，折线形头灯，可闭合黑色格栅。</w:t>
      </w:r>
    </w:p>
    <w:p w14:paraId="58CD4189" w14:textId="77777777" w:rsidR="00920247" w:rsidRDefault="00920247" w:rsidP="00914440">
      <w:r>
        <w:rPr>
          <w:rFonts w:hint="eastAsia"/>
        </w:rPr>
        <w:t>内饰方面，新车采用悬浮式中控屏。</w:t>
      </w:r>
    </w:p>
    <w:p w14:paraId="555815D6" w14:textId="77777777" w:rsidR="00920247" w:rsidRDefault="00920247" w:rsidP="00914440">
      <w:r>
        <w:rPr>
          <w:rFonts w:hint="eastAsia"/>
        </w:rPr>
        <w:t>配置方面，新车配备全景天幕，第三代柔性电致变色技术。</w:t>
      </w:r>
    </w:p>
    <w:p w14:paraId="2F4A9041" w14:textId="77777777" w:rsidR="00920247" w:rsidRDefault="00920247" w:rsidP="00914440">
      <w:r>
        <w:rPr>
          <w:rFonts w:hint="eastAsia"/>
        </w:rPr>
        <w:t>动力方面，新车搭载纯电动机，</w:t>
      </w:r>
      <w:r>
        <w:t>NEDC续航里程达410km、510km和602km。</w:t>
      </w:r>
    </w:p>
    <w:p w14:paraId="5A8CDB76" w14:textId="4657E23A" w:rsidR="00920247" w:rsidRDefault="00920247" w:rsidP="00914440">
      <w:pPr>
        <w:rPr>
          <w:rFonts w:cs="宋体"/>
          <w:b/>
          <w:bCs/>
          <w:i/>
          <w:iCs/>
        </w:rPr>
      </w:pPr>
      <w:r w:rsidRPr="007654C2">
        <w:rPr>
          <w:rFonts w:cs="宋体" w:hint="eastAsia"/>
          <w:b/>
          <w:bCs/>
          <w:i/>
          <w:iCs/>
        </w:rPr>
        <w:t>分析：。</w:t>
      </w:r>
    </w:p>
    <w:p w14:paraId="348E9EFE" w14:textId="77777777" w:rsidR="00AD0761" w:rsidRDefault="00AD0761" w:rsidP="00914440">
      <w:pPr>
        <w:rPr>
          <w:rFonts w:cs="宋体" w:hint="eastAsia"/>
          <w:b/>
          <w:bCs/>
          <w:i/>
          <w:iCs/>
        </w:rPr>
      </w:pPr>
    </w:p>
    <w:p w14:paraId="29B62262" w14:textId="77777777" w:rsidR="00914440" w:rsidRPr="00DA5660" w:rsidRDefault="00914440" w:rsidP="00914440">
      <w:pPr>
        <w:pStyle w:val="a8"/>
        <w:numPr>
          <w:ilvl w:val="0"/>
          <w:numId w:val="14"/>
        </w:numPr>
        <w:ind w:firstLineChars="0"/>
        <w:outlineLvl w:val="0"/>
        <w:rPr>
          <w:b/>
        </w:rPr>
      </w:pPr>
      <w:r w:rsidRPr="00C97499">
        <w:rPr>
          <w:rFonts w:cs="宋体" w:hint="eastAsia"/>
          <w:b/>
          <w:bCs/>
        </w:rPr>
        <w:t>宏观经济与政策</w:t>
      </w:r>
    </w:p>
    <w:p w14:paraId="4B51E431" w14:textId="77777777" w:rsidR="00920247" w:rsidRPr="00471160" w:rsidRDefault="00920247" w:rsidP="00914440">
      <w:pPr>
        <w:pStyle w:val="a8"/>
        <w:numPr>
          <w:ilvl w:val="0"/>
          <w:numId w:val="15"/>
        </w:numPr>
        <w:ind w:firstLineChars="0"/>
        <w:outlineLvl w:val="1"/>
        <w:rPr>
          <w:b/>
        </w:rPr>
      </w:pPr>
      <w:r w:rsidRPr="00471160">
        <w:rPr>
          <w:rFonts w:hint="eastAsia"/>
          <w:b/>
        </w:rPr>
        <w:t>财政部：前</w:t>
      </w:r>
      <w:r w:rsidRPr="00471160">
        <w:rPr>
          <w:b/>
        </w:rPr>
        <w:t>5月国有企业利润总额17,939.3亿元</w:t>
      </w:r>
    </w:p>
    <w:p w14:paraId="1FABF66F" w14:textId="77777777" w:rsidR="00920247" w:rsidRDefault="00920247" w:rsidP="00914440">
      <w:r>
        <w:t>1-5月，国有企业营业总收入282,164.4亿元，同比增长30.5%，两年平均增长8.9%。其中中央企业159,649.9亿元，同比增长27.4%；地方国有企业122,514.5亿元，同比增长34.8%。1-5月，国有企业利润总额17,939.3亿元，同比增长1.7倍。</w:t>
      </w:r>
    </w:p>
    <w:p w14:paraId="2319B081" w14:textId="77777777" w:rsidR="00920247" w:rsidRDefault="00920247" w:rsidP="00914440">
      <w:pPr>
        <w:rPr>
          <w:rFonts w:cs="宋体"/>
          <w:b/>
          <w:bCs/>
          <w:i/>
          <w:iCs/>
        </w:rPr>
      </w:pPr>
      <w:r w:rsidRPr="0029395C">
        <w:rPr>
          <w:rFonts w:cs="宋体" w:hint="eastAsia"/>
          <w:b/>
          <w:bCs/>
          <w:i/>
          <w:iCs/>
        </w:rPr>
        <w:t>分析：。</w:t>
      </w:r>
    </w:p>
    <w:p w14:paraId="2F387EC9" w14:textId="4D7D8ECC" w:rsidR="002E3716" w:rsidRPr="00AD0761" w:rsidRDefault="00AD0761" w:rsidP="00AD0761">
      <w:pPr>
        <w:outlineLvl w:val="1"/>
        <w:rPr>
          <w:b/>
        </w:rPr>
      </w:pPr>
      <w:r>
        <w:rPr>
          <w:rFonts w:hint="eastAsia"/>
          <w:b/>
        </w:rPr>
        <w:t>2</w:t>
      </w:r>
      <w:r>
        <w:rPr>
          <w:b/>
        </w:rPr>
        <w:t>.</w:t>
      </w:r>
      <w:r w:rsidR="002E3716" w:rsidRPr="00AD0761">
        <w:rPr>
          <w:rFonts w:hint="eastAsia"/>
          <w:b/>
        </w:rPr>
        <w:t>北京</w:t>
      </w:r>
      <w:r w:rsidR="002E3716" w:rsidRPr="00AD0761">
        <w:rPr>
          <w:b/>
        </w:rPr>
        <w:t>:拟对单位内部公用充电设施建设给予补助</w:t>
      </w:r>
    </w:p>
    <w:p w14:paraId="2564A709" w14:textId="77777777" w:rsidR="002E3716" w:rsidRDefault="002E3716" w:rsidP="002E3716">
      <w:r>
        <w:rPr>
          <w:rFonts w:hint="eastAsia"/>
        </w:rPr>
        <w:t>据北京市人民政府官网消息，</w:t>
      </w:r>
      <w:r>
        <w:t>6月21日，北京市城市管理委员会发布关于对《北京市鼓励单位内部公用充电设施建设暂行办法》公开征求意见的公告，征求意见提出，拟对单位内部公用充电设施建设给予补助资金支持。</w:t>
      </w:r>
      <w:r>
        <w:rPr>
          <w:rFonts w:hint="eastAsia"/>
        </w:rPr>
        <w:t>。</w:t>
      </w:r>
    </w:p>
    <w:p w14:paraId="2168B8B9" w14:textId="77777777" w:rsidR="002E3716" w:rsidRPr="00120979" w:rsidRDefault="002E3716" w:rsidP="002E3716">
      <w:pPr>
        <w:rPr>
          <w:rFonts w:cs="宋体"/>
          <w:b/>
          <w:bCs/>
          <w:i/>
          <w:iCs/>
        </w:rPr>
      </w:pPr>
      <w:r w:rsidRPr="002865F2">
        <w:rPr>
          <w:rFonts w:cs="宋体" w:hint="eastAsia"/>
          <w:b/>
          <w:bCs/>
          <w:i/>
          <w:iCs/>
        </w:rPr>
        <w:t>分析：。</w:t>
      </w:r>
    </w:p>
    <w:p w14:paraId="52B470FD" w14:textId="508785D5" w:rsidR="008E2342" w:rsidRPr="00AD0761" w:rsidRDefault="00AD0761" w:rsidP="00AD0761">
      <w:pPr>
        <w:outlineLvl w:val="1"/>
        <w:rPr>
          <w:b/>
        </w:rPr>
      </w:pPr>
      <w:r>
        <w:rPr>
          <w:rFonts w:hint="eastAsia"/>
          <w:b/>
        </w:rPr>
        <w:t>3</w:t>
      </w:r>
      <w:r>
        <w:rPr>
          <w:b/>
        </w:rPr>
        <w:t>.</w:t>
      </w:r>
      <w:r w:rsidR="008E2342" w:rsidRPr="00AD0761">
        <w:rPr>
          <w:rFonts w:hint="eastAsia"/>
          <w:b/>
        </w:rPr>
        <w:t>工信部</w:t>
      </w:r>
      <w:r w:rsidR="008E2342" w:rsidRPr="00AD0761">
        <w:rPr>
          <w:b/>
        </w:rPr>
        <w:t>:目标2025年形成车联网标准体系</w:t>
      </w:r>
    </w:p>
    <w:p w14:paraId="6F5F8667" w14:textId="77777777" w:rsidR="008E2342" w:rsidRDefault="008E2342" w:rsidP="008E2342">
      <w:r>
        <w:rPr>
          <w:rFonts w:hint="eastAsia"/>
        </w:rPr>
        <w:t>工信部就《车联网（智能网联汽车）网络安全标准体系建设指南》公开征求意见。意见提出了车联网（智能网联汽车）网络安全标准体系框架、重点标准化领域及方向，包括总体与基础共性、终端与设施安全、网联通信安全、数据安全、应用服务安全、安全保障与支撑六大类标准。</w:t>
      </w:r>
    </w:p>
    <w:p w14:paraId="3EB41E38" w14:textId="77777777" w:rsidR="008E2342" w:rsidRDefault="008E2342" w:rsidP="008E2342">
      <w:r>
        <w:rPr>
          <w:rFonts w:hint="eastAsia"/>
        </w:rPr>
        <w:t>目标到</w:t>
      </w:r>
      <w:r>
        <w:t>2025年，形成较为完备的车联网（智能网联汽车）网络安全标准体系，完成100项以上重点标准，提升标准对细分领域的覆盖程度，加强标准服务能力，提高标准应用水平，支撑车联网产业安全发展。</w:t>
      </w:r>
    </w:p>
    <w:p w14:paraId="1EF82D7A" w14:textId="77777777" w:rsidR="008E2342" w:rsidRDefault="008E2342" w:rsidP="008E2342">
      <w:pPr>
        <w:rPr>
          <w:rFonts w:cs="宋体"/>
          <w:b/>
          <w:bCs/>
          <w:i/>
          <w:iCs/>
        </w:rPr>
      </w:pPr>
      <w:r w:rsidRPr="002865F2">
        <w:rPr>
          <w:rFonts w:cs="宋体" w:hint="eastAsia"/>
          <w:b/>
          <w:bCs/>
          <w:i/>
          <w:iCs/>
        </w:rPr>
        <w:t>分析：。</w:t>
      </w:r>
    </w:p>
    <w:p w14:paraId="49834A61" w14:textId="1B19D433" w:rsidR="002E3716" w:rsidRPr="00AD0761" w:rsidRDefault="00AD0761" w:rsidP="00AD0761">
      <w:pPr>
        <w:outlineLvl w:val="1"/>
        <w:rPr>
          <w:b/>
        </w:rPr>
      </w:pPr>
      <w:r>
        <w:rPr>
          <w:rFonts w:hint="eastAsia"/>
          <w:b/>
        </w:rPr>
        <w:t>4</w:t>
      </w:r>
      <w:r>
        <w:rPr>
          <w:b/>
        </w:rPr>
        <w:t>.</w:t>
      </w:r>
      <w:r w:rsidR="002E3716" w:rsidRPr="00AD0761">
        <w:rPr>
          <w:rFonts w:hint="eastAsia"/>
          <w:b/>
        </w:rPr>
        <w:t>承德“十四五”规划</w:t>
      </w:r>
      <w:r w:rsidR="002E3716" w:rsidRPr="00AD0761">
        <w:rPr>
          <w:b/>
        </w:rPr>
        <w:t>:推动清洁能源产业</w:t>
      </w:r>
    </w:p>
    <w:p w14:paraId="4CC9356B" w14:textId="77777777" w:rsidR="002E3716" w:rsidRDefault="002E3716" w:rsidP="002E3716">
      <w:r>
        <w:rPr>
          <w:rFonts w:hint="eastAsia"/>
        </w:rPr>
        <w:t>承德市人民政府发布关于《承德市国民经济和社会发展第十四个五年规划和二〇三五年远景目标纲要》。规划期为</w:t>
      </w:r>
      <w:r>
        <w:t>2021-2025年，展望到2035年。</w:t>
      </w:r>
    </w:p>
    <w:p w14:paraId="5E131CF7" w14:textId="77777777" w:rsidR="002E3716" w:rsidRDefault="002E3716" w:rsidP="002E3716">
      <w:r>
        <w:rPr>
          <w:rFonts w:hint="eastAsia"/>
        </w:rPr>
        <w:t>《纲要》中在“要推动清洁能源产业、善新能源汽车配套基础设施网络”中提出推动制氢、储氢、运氢、用氢四位一体模式，加快本市城际公交加氢站建设。主要内容包括：</w:t>
      </w:r>
    </w:p>
    <w:p w14:paraId="1E4B1A6E" w14:textId="77777777" w:rsidR="002E3716" w:rsidRDefault="002E3716" w:rsidP="002E3716">
      <w:r>
        <w:t>1、要推动清洁能源产业：积极推进风电、光伏发电、抽水蓄能、地热能等清洁能源多种方式开发利用。加快推进三个千万千瓦级清洁能源发电基地建设，拓展延伸装备制造、绿氢、运维服务等清洁能源产业。加强氢能战略研究和布局，大力发展可再生能源制氢先进技术，推进制氢与风光储耦合项目。</w:t>
      </w:r>
    </w:p>
    <w:p w14:paraId="4241BA9D" w14:textId="77777777" w:rsidR="002E3716" w:rsidRDefault="002E3716" w:rsidP="002E3716">
      <w:r>
        <w:t>2、善新能源汽车配套基础设施网络。培育和壮大氢燃料汽车基础设施网络，积极推进城际公交加氢站建设，加快重点旅游沿线、大型厂矿及园区加氢基础设施布局，推动城市加氢体系不断完善。</w:t>
      </w:r>
    </w:p>
    <w:p w14:paraId="6EA0EBE7" w14:textId="77777777" w:rsidR="002E3716" w:rsidRDefault="002E3716" w:rsidP="002E3716">
      <w:pPr>
        <w:rPr>
          <w:rFonts w:cs="宋体"/>
          <w:b/>
          <w:bCs/>
          <w:i/>
          <w:iCs/>
        </w:rPr>
      </w:pPr>
      <w:r w:rsidRPr="002865F2">
        <w:rPr>
          <w:rFonts w:cs="宋体" w:hint="eastAsia"/>
          <w:b/>
          <w:bCs/>
          <w:i/>
          <w:iCs/>
        </w:rPr>
        <w:t>分析：。</w:t>
      </w:r>
    </w:p>
    <w:p w14:paraId="2E86F913" w14:textId="29581040" w:rsidR="002E3716" w:rsidRPr="00AD0761" w:rsidRDefault="00AD0761" w:rsidP="00AD0761">
      <w:pPr>
        <w:outlineLvl w:val="1"/>
        <w:rPr>
          <w:b/>
        </w:rPr>
      </w:pPr>
      <w:r>
        <w:rPr>
          <w:rFonts w:hint="eastAsia"/>
          <w:b/>
        </w:rPr>
        <w:t>5</w:t>
      </w:r>
      <w:r>
        <w:rPr>
          <w:b/>
        </w:rPr>
        <w:t>.</w:t>
      </w:r>
      <w:r w:rsidR="002E3716" w:rsidRPr="00AD0761">
        <w:rPr>
          <w:rFonts w:hint="eastAsia"/>
          <w:b/>
        </w:rPr>
        <w:t>低速电动车迎关键性“国标”</w:t>
      </w:r>
      <w:r w:rsidR="002E3716" w:rsidRPr="00AD0761">
        <w:rPr>
          <w:b/>
        </w:rPr>
        <w:t>,将被纳入纯电动乘用车范围</w:t>
      </w:r>
    </w:p>
    <w:p w14:paraId="0B0E26FF" w14:textId="77777777" w:rsidR="002E3716" w:rsidRDefault="002E3716" w:rsidP="002E3716">
      <w:r w:rsidRPr="004235A9">
        <w:t>6月17日，工信部正式公开征求对推荐性国家标准《纯电动乘用车技术条件》的意见。《技术条件》对纯电动乘用车的部分技术条件进行修订，同时也明确四轮低速电动车将作为纯电动乘用车的一个子类，命名为“微型低速纯电动乘用车”，并提出了产品的相关技术指标和要求。《技术条件》的征求意见截止日期为2021年8月16日，这意味着低速电动车已正式纳入正规化管理。低速电动车规范管理驶入“快车道”。</w:t>
      </w:r>
    </w:p>
    <w:p w14:paraId="38FAB6FD" w14:textId="77777777" w:rsidR="002E3716" w:rsidRPr="00D45ABA" w:rsidRDefault="002E3716" w:rsidP="002E3716">
      <w:pPr>
        <w:rPr>
          <w:rFonts w:cs="宋体"/>
          <w:b/>
          <w:bCs/>
          <w:i/>
          <w:iCs/>
        </w:rPr>
      </w:pPr>
      <w:r w:rsidRPr="002865F2">
        <w:rPr>
          <w:rFonts w:cs="宋体" w:hint="eastAsia"/>
          <w:b/>
          <w:bCs/>
          <w:i/>
          <w:iCs/>
        </w:rPr>
        <w:t>分析：。</w:t>
      </w:r>
    </w:p>
    <w:p w14:paraId="7F65C841" w14:textId="5F63D61E" w:rsidR="002E3716" w:rsidRPr="00AD0761" w:rsidRDefault="00AD0761" w:rsidP="00AD0761">
      <w:pPr>
        <w:outlineLvl w:val="1"/>
        <w:rPr>
          <w:b/>
        </w:rPr>
      </w:pPr>
      <w:r>
        <w:rPr>
          <w:rFonts w:hint="eastAsia"/>
          <w:b/>
        </w:rPr>
        <w:t>6</w:t>
      </w:r>
      <w:r>
        <w:rPr>
          <w:b/>
        </w:rPr>
        <w:t>.</w:t>
      </w:r>
      <w:r w:rsidR="002E3716" w:rsidRPr="00AD0761">
        <w:rPr>
          <w:rFonts w:hint="eastAsia"/>
          <w:b/>
        </w:rPr>
        <w:t>深圳延长国五上牌时间</w:t>
      </w:r>
      <w:r w:rsidR="002E3716" w:rsidRPr="00AD0761">
        <w:rPr>
          <w:b/>
        </w:rPr>
        <w:t>轻、中卡也在内</w:t>
      </w:r>
    </w:p>
    <w:p w14:paraId="7EC050D5" w14:textId="77777777" w:rsidR="002E3716" w:rsidRDefault="002E3716" w:rsidP="002E3716">
      <w:r>
        <w:rPr>
          <w:rFonts w:hint="eastAsia"/>
        </w:rPr>
        <w:t>根据“深圳车管所”官方微信公众号发布的消息表示：在</w:t>
      </w:r>
      <w:r>
        <w:t>2021年6月30日前（含当日）已销售并开具机动车统一销售发票的国五重型柴油车，可在2021年12月31日前（含当日，以系统受理时间为准）办理注册登记。</w:t>
      </w:r>
    </w:p>
    <w:p w14:paraId="32E9F8E3" w14:textId="77777777" w:rsidR="002E3716" w:rsidRPr="00D5046F" w:rsidRDefault="002E3716" w:rsidP="002E3716">
      <w:pPr>
        <w:rPr>
          <w:rFonts w:cs="宋体"/>
          <w:b/>
          <w:bCs/>
          <w:i/>
          <w:iCs/>
        </w:rPr>
      </w:pPr>
      <w:r w:rsidRPr="002865F2">
        <w:rPr>
          <w:rFonts w:cs="宋体" w:hint="eastAsia"/>
          <w:b/>
          <w:bCs/>
          <w:i/>
          <w:iCs/>
        </w:rPr>
        <w:t>分析：。</w:t>
      </w:r>
    </w:p>
    <w:p w14:paraId="54FDD988" w14:textId="0A05291F" w:rsidR="002E3716" w:rsidRPr="00AD0761" w:rsidRDefault="00AD0761" w:rsidP="00AD0761">
      <w:pPr>
        <w:outlineLvl w:val="1"/>
        <w:rPr>
          <w:b/>
        </w:rPr>
      </w:pPr>
      <w:r>
        <w:rPr>
          <w:rFonts w:hint="eastAsia"/>
          <w:b/>
        </w:rPr>
        <w:t>7</w:t>
      </w:r>
      <w:r>
        <w:rPr>
          <w:b/>
        </w:rPr>
        <w:t>.</w:t>
      </w:r>
      <w:r w:rsidR="002E3716" w:rsidRPr="00AD0761">
        <w:rPr>
          <w:rFonts w:hint="eastAsia"/>
          <w:b/>
        </w:rPr>
        <w:t>济南加快重点领域新能源推广等政策发布</w:t>
      </w:r>
    </w:p>
    <w:p w14:paraId="298F11AC" w14:textId="77777777" w:rsidR="002E3716" w:rsidRDefault="002E3716" w:rsidP="002E3716">
      <w:r>
        <w:rPr>
          <w:rFonts w:hint="eastAsia"/>
        </w:rPr>
        <w:t>济南市人民政府办公厅出台了《关于加快新能源汽车推广应用的若干政策》（以下简称《政策》）。《政策》提出了推广新能源汽车消费、加快重点领域新能源车推广应用、实行差异化交通管理、完善基础设施配套网络、促进新能源汽车产业发展等方面措施。统筹做好全市充电桩、换电站网络规划，构建立体化、多层次、全场景智慧充换电网络。优先推进住宅小区、公共停车场、机关事业单位及企业内部停车场、高速公路服务区的充换电设施建设。创建充电示范居民小区、出租车充换电示范站，发挥引领带动作用。建立市级统筹建设运营平台，为单位和市民提供“一站式”报装服务。</w:t>
      </w:r>
    </w:p>
    <w:p w14:paraId="70A5B019" w14:textId="77777777" w:rsidR="002E3716" w:rsidRDefault="002E3716" w:rsidP="002E3716">
      <w:pPr>
        <w:rPr>
          <w:rFonts w:cs="宋体"/>
          <w:b/>
          <w:bCs/>
          <w:i/>
          <w:iCs/>
        </w:rPr>
      </w:pPr>
      <w:r w:rsidRPr="002865F2">
        <w:rPr>
          <w:rFonts w:cs="宋体" w:hint="eastAsia"/>
          <w:b/>
          <w:bCs/>
          <w:i/>
          <w:iCs/>
        </w:rPr>
        <w:t>分析：。</w:t>
      </w:r>
    </w:p>
    <w:p w14:paraId="1F61AD43" w14:textId="650596C1" w:rsidR="002E3716" w:rsidRPr="00AD0761" w:rsidRDefault="00AD0761" w:rsidP="00AD0761">
      <w:pPr>
        <w:outlineLvl w:val="1"/>
        <w:rPr>
          <w:b/>
        </w:rPr>
      </w:pPr>
      <w:r>
        <w:rPr>
          <w:rFonts w:hint="eastAsia"/>
          <w:b/>
        </w:rPr>
        <w:t>8</w:t>
      </w:r>
      <w:r>
        <w:rPr>
          <w:b/>
        </w:rPr>
        <w:t>.</w:t>
      </w:r>
      <w:r w:rsidR="002E3716" w:rsidRPr="00AD0761">
        <w:rPr>
          <w:rFonts w:hint="eastAsia"/>
          <w:b/>
        </w:rPr>
        <w:t>交通部</w:t>
      </w:r>
      <w:r w:rsidR="002E3716" w:rsidRPr="00AD0761">
        <w:rPr>
          <w:b/>
        </w:rPr>
        <w:t>:高速公路差异化收费方案6月底之前制定</w:t>
      </w:r>
    </w:p>
    <w:p w14:paraId="0140B8B0" w14:textId="77777777" w:rsidR="002E3716" w:rsidRDefault="002E3716" w:rsidP="002E3716">
      <w:r>
        <w:t>6月24日，国新办举行新闻发布会，交通运输部负责人回答了关于全面推广高速公路差异化收费问题。</w:t>
      </w:r>
    </w:p>
    <w:p w14:paraId="2AF9E725" w14:textId="77777777" w:rsidR="002E3716" w:rsidRDefault="002E3716" w:rsidP="002E3716">
      <w:r>
        <w:rPr>
          <w:rFonts w:hint="eastAsia"/>
        </w:rPr>
        <w:t>交通运输部副部长赵冲久表示，关于高速公路差异化收费方面，为了落实今年政府工作报告的部署要求，交通运输部会同国家发展改革委员会、财政部进行深入研究，</w:t>
      </w:r>
      <w:r>
        <w:t>6月15日公布了全面推广高速公路差异化收费的实施方案。指导各地在深入总结高速公路差异化收费试点工作经验的基础上，充分考虑本地公路网结构以及运行特点等因素，选择分路段、分车型、分时段、分出入口、分方向、分支付方式六个方面的差异化收费方式。</w:t>
      </w:r>
    </w:p>
    <w:p w14:paraId="50253A8D" w14:textId="77777777" w:rsidR="002E3716" w:rsidRPr="001433D4" w:rsidRDefault="002E3716" w:rsidP="002E3716">
      <w:pPr>
        <w:rPr>
          <w:rFonts w:cs="宋体"/>
          <w:b/>
          <w:bCs/>
          <w:i/>
          <w:iCs/>
        </w:rPr>
      </w:pPr>
      <w:r w:rsidRPr="002865F2">
        <w:rPr>
          <w:rFonts w:cs="宋体" w:hint="eastAsia"/>
          <w:b/>
          <w:bCs/>
          <w:i/>
          <w:iCs/>
        </w:rPr>
        <w:t>分析：。</w:t>
      </w:r>
    </w:p>
    <w:p w14:paraId="3F441CD6" w14:textId="76BBD400" w:rsidR="002E3716" w:rsidRPr="00AD0761" w:rsidRDefault="00AD0761" w:rsidP="00AD0761">
      <w:pPr>
        <w:outlineLvl w:val="1"/>
        <w:rPr>
          <w:b/>
        </w:rPr>
      </w:pPr>
      <w:r>
        <w:rPr>
          <w:rFonts w:hint="eastAsia"/>
          <w:b/>
        </w:rPr>
        <w:t>9</w:t>
      </w:r>
      <w:r>
        <w:rPr>
          <w:b/>
        </w:rPr>
        <w:t>.</w:t>
      </w:r>
      <w:r w:rsidR="002E3716" w:rsidRPr="00AD0761">
        <w:rPr>
          <w:rFonts w:hint="eastAsia"/>
          <w:b/>
        </w:rPr>
        <w:t>南京发布</w:t>
      </w:r>
      <w:r w:rsidR="002E3716" w:rsidRPr="00AD0761">
        <w:rPr>
          <w:b/>
        </w:rPr>
        <w:t>2020年充电设施补贴办法</w:t>
      </w:r>
    </w:p>
    <w:p w14:paraId="3313053A" w14:textId="77777777" w:rsidR="002E3716" w:rsidRDefault="002E3716" w:rsidP="002E3716">
      <w:r>
        <w:rPr>
          <w:rFonts w:hint="eastAsia"/>
        </w:rPr>
        <w:t>南京市财政局发布了《南京市</w:t>
      </w:r>
      <w:r>
        <w:t>2020年度充电设施建设运营财政补贴办法》的通知。本次充电设施财政补贴由新建充电设施建设补贴和充电设施运营补贴构成，包括交流充电桩每千瓦补贴300元，直流充电桩独立增容站点每千瓦补贴900元，给予社会公共充电设施运营补贴0.15元/千瓦时等。</w:t>
      </w:r>
    </w:p>
    <w:p w14:paraId="7BBC407B" w14:textId="77777777" w:rsidR="002E3716" w:rsidRDefault="002E3716" w:rsidP="002E3716">
      <w:pPr>
        <w:rPr>
          <w:rFonts w:cs="宋体"/>
          <w:b/>
          <w:bCs/>
          <w:i/>
          <w:iCs/>
        </w:rPr>
      </w:pPr>
      <w:r w:rsidRPr="002865F2">
        <w:rPr>
          <w:rFonts w:cs="宋体" w:hint="eastAsia"/>
          <w:b/>
          <w:bCs/>
          <w:i/>
          <w:iCs/>
        </w:rPr>
        <w:t>分析：。</w:t>
      </w:r>
    </w:p>
    <w:p w14:paraId="0002BAA7" w14:textId="15C10F57" w:rsidR="002E3716" w:rsidRPr="00AD0761" w:rsidRDefault="00AD0761" w:rsidP="00AD0761">
      <w:pPr>
        <w:outlineLvl w:val="1"/>
        <w:rPr>
          <w:b/>
        </w:rPr>
      </w:pPr>
      <w:r>
        <w:rPr>
          <w:rFonts w:hint="eastAsia"/>
          <w:b/>
        </w:rPr>
        <w:t>1</w:t>
      </w:r>
      <w:r>
        <w:rPr>
          <w:b/>
        </w:rPr>
        <w:t>0.</w:t>
      </w:r>
      <w:r w:rsidR="002E3716" w:rsidRPr="00AD0761">
        <w:rPr>
          <w:rFonts w:hint="eastAsia"/>
          <w:b/>
        </w:rPr>
        <w:t>能源局：不得新建动力电池梯次利用项目</w:t>
      </w:r>
    </w:p>
    <w:p w14:paraId="03BF57D6" w14:textId="77777777" w:rsidR="002E3716" w:rsidRDefault="002E3716" w:rsidP="002E3716">
      <w:r>
        <w:t>6月22日，国家能源局就《新型储能项目管理规范（暂行）（征求意见稿）》公开征求意见。意见稿指出：新型储能项目相关单位应按照有关法律法规和技术规范要求，严格履行项目安全、消防、环保等管理程序，落实安全责任。在电池一致性管理技术取得关键突破、动力电池性能监测与评价体系健全前，原则上不得新建大型动力电池梯次利用储能项目。</w:t>
      </w:r>
    </w:p>
    <w:p w14:paraId="5E9964F0" w14:textId="77777777" w:rsidR="002E3716" w:rsidRDefault="002E3716" w:rsidP="002E3716">
      <w:pPr>
        <w:rPr>
          <w:rFonts w:cs="宋体"/>
          <w:b/>
          <w:bCs/>
          <w:i/>
          <w:iCs/>
        </w:rPr>
      </w:pPr>
      <w:r w:rsidRPr="002865F2">
        <w:rPr>
          <w:rFonts w:cs="宋体" w:hint="eastAsia"/>
          <w:b/>
          <w:bCs/>
          <w:i/>
          <w:iCs/>
        </w:rPr>
        <w:t>分析：。</w:t>
      </w:r>
    </w:p>
    <w:p w14:paraId="7E56779A" w14:textId="166D7B73" w:rsidR="00920247" w:rsidRPr="00AD0761" w:rsidRDefault="00AD0761" w:rsidP="00AD0761">
      <w:pPr>
        <w:outlineLvl w:val="1"/>
        <w:rPr>
          <w:b/>
        </w:rPr>
      </w:pPr>
      <w:r>
        <w:rPr>
          <w:rFonts w:hint="eastAsia"/>
          <w:b/>
        </w:rPr>
        <w:t>1</w:t>
      </w:r>
      <w:r>
        <w:rPr>
          <w:b/>
        </w:rPr>
        <w:t>.</w:t>
      </w:r>
      <w:r w:rsidR="00920247" w:rsidRPr="00AD0761">
        <w:rPr>
          <w:rFonts w:hint="eastAsia"/>
          <w:b/>
        </w:rPr>
        <w:t>商务部：前</w:t>
      </w:r>
      <w:r w:rsidR="00920247" w:rsidRPr="00AD0761">
        <w:rPr>
          <w:b/>
        </w:rPr>
        <w:t>5月我国对外非金融类直接投资2,806.2亿元</w:t>
      </w:r>
    </w:p>
    <w:p w14:paraId="5637513F" w14:textId="77777777" w:rsidR="00920247" w:rsidRDefault="00920247" w:rsidP="00914440">
      <w:r>
        <w:t>1-5月，我国对外非金融类直接投资2,806.2亿元人民币，同比下降5.3%。对外承包工程完成营业额3,427.9亿元人民币，同比下降1.6%；新签合同额5,360.3亿元人民币，同比下降10.9%。</w:t>
      </w:r>
    </w:p>
    <w:p w14:paraId="2334B2EF" w14:textId="0125A9B9" w:rsidR="00920247" w:rsidRDefault="00920247" w:rsidP="00914440">
      <w:pPr>
        <w:rPr>
          <w:rFonts w:cs="宋体"/>
          <w:b/>
          <w:bCs/>
          <w:i/>
          <w:iCs/>
        </w:rPr>
      </w:pPr>
      <w:r w:rsidRPr="0029395C">
        <w:rPr>
          <w:rFonts w:cs="宋体" w:hint="eastAsia"/>
          <w:b/>
          <w:bCs/>
          <w:i/>
          <w:iCs/>
        </w:rPr>
        <w:t>分析：。</w:t>
      </w:r>
    </w:p>
    <w:p w14:paraId="1CECC180" w14:textId="77777777" w:rsidR="00AD0761" w:rsidRDefault="00AD0761" w:rsidP="00914440">
      <w:pPr>
        <w:rPr>
          <w:rFonts w:cs="宋体" w:hint="eastAsia"/>
          <w:b/>
          <w:bCs/>
          <w:i/>
          <w:iCs/>
        </w:rPr>
      </w:pPr>
    </w:p>
    <w:p w14:paraId="1741F3BC" w14:textId="77777777" w:rsidR="00914440" w:rsidRPr="00567A78" w:rsidRDefault="00914440" w:rsidP="00914440">
      <w:pPr>
        <w:pStyle w:val="a8"/>
        <w:numPr>
          <w:ilvl w:val="0"/>
          <w:numId w:val="8"/>
        </w:numPr>
        <w:ind w:firstLineChars="0"/>
        <w:outlineLvl w:val="0"/>
        <w:rPr>
          <w:b/>
        </w:rPr>
      </w:pPr>
      <w:r w:rsidRPr="002009FE">
        <w:rPr>
          <w:rFonts w:cs="宋体" w:hint="eastAsia"/>
          <w:b/>
          <w:bCs/>
        </w:rPr>
        <w:t>新品信息跟踪</w:t>
      </w:r>
    </w:p>
    <w:p w14:paraId="58303AED" w14:textId="77777777" w:rsidR="00FE69D2" w:rsidRPr="006843FE" w:rsidRDefault="00FE69D2" w:rsidP="00914440">
      <w:pPr>
        <w:pStyle w:val="a8"/>
        <w:numPr>
          <w:ilvl w:val="3"/>
          <w:numId w:val="9"/>
        </w:numPr>
        <w:ind w:left="426" w:firstLineChars="0"/>
        <w:outlineLvl w:val="1"/>
        <w:rPr>
          <w:b/>
        </w:rPr>
      </w:pPr>
      <w:r w:rsidRPr="006843FE">
        <w:rPr>
          <w:b/>
        </w:rPr>
        <w:t>吉利新款帝豪GLPHEV</w:t>
      </w:r>
      <w:r w:rsidR="00D12D3C" w:rsidRPr="006843FE">
        <w:rPr>
          <w:b/>
        </w:rPr>
        <w:t xml:space="preserve"> </w:t>
      </w:r>
    </w:p>
    <w:p w14:paraId="4D5188D0" w14:textId="77777777" w:rsidR="00FE69D2" w:rsidRDefault="00FE69D2" w:rsidP="00914440">
      <w:r>
        <w:rPr>
          <w:noProof/>
          <w:color w:val="000000"/>
        </w:rPr>
        <w:drawing>
          <wp:inline distT="0" distB="0" distL="0" distR="0" wp14:anchorId="4C630647" wp14:editId="33BB1565">
            <wp:extent cx="1800000" cy="1125000"/>
            <wp:effectExtent l="0" t="0" r="0" b="0"/>
            <wp:docPr id="20" name="图片 20" descr="http://dss.way-s.cn/news/net_images/autohome/09b4d3b0ba84041e6da58cb4a906558726eef169/fd2d8d1e61b3fde815efdd9bdc993f7740efd5b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dss.way-s.cn/news/net_images/autohome/09b4d3b0ba84041e6da58cb4a906558726eef169/fd2d8d1e61b3fde815efdd9bdc993f7740efd5ba.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4BFA70EC" w14:textId="77777777" w:rsidR="00FE69D2" w:rsidRDefault="00FE69D2" w:rsidP="00914440">
      <w:r>
        <w:rPr>
          <w:rFonts w:hint="eastAsia"/>
        </w:rPr>
        <w:t>新款（</w:t>
      </w:r>
      <w:r>
        <w:t>2021款）吉利帝豪GLPHEV正式上市，共推出一款车型，补贴后售价为16.88万元。外观方面，新车延续了现款车型的设计，前脸采用吉利全黑新LOGO，前格栅、大灯、尾部排气管等位置都有新能源专属蓝色装饰条。动力方面，新车继续采用由1.5T涡轮增压发动机+电机组成的插电混动系统，配备容量为11.3kWh的三元锂电池，NEDC工况下纯电续航66km，最快充电时间可达1.5小时。该动力系统的综合最大功率为190kW，最大扭矩可达415N·m，官方0-100km/h加速为7.28秒，综合油耗1.4L/100km。</w:t>
      </w:r>
    </w:p>
    <w:p w14:paraId="61CAF402" w14:textId="2B309C68" w:rsidR="00FE69D2" w:rsidRDefault="00FE69D2" w:rsidP="00914440">
      <w:pPr>
        <w:rPr>
          <w:rFonts w:cs="宋体"/>
          <w:b/>
          <w:bCs/>
          <w:i/>
          <w:iCs/>
        </w:rPr>
      </w:pPr>
      <w:r w:rsidRPr="002009FE">
        <w:rPr>
          <w:rFonts w:cs="宋体" w:hint="eastAsia"/>
          <w:b/>
          <w:bCs/>
          <w:i/>
          <w:iCs/>
        </w:rPr>
        <w:t>分析：。</w:t>
      </w:r>
    </w:p>
    <w:p w14:paraId="02ED1E06" w14:textId="77777777" w:rsidR="00AD0761" w:rsidRDefault="00AD0761" w:rsidP="00914440">
      <w:pPr>
        <w:rPr>
          <w:rFonts w:cs="宋体" w:hint="eastAsia"/>
          <w:b/>
          <w:bCs/>
          <w:i/>
          <w:iCs/>
        </w:rPr>
      </w:pPr>
    </w:p>
    <w:p w14:paraId="41FFEE9B" w14:textId="77777777" w:rsidR="00914440" w:rsidRPr="002009FE" w:rsidRDefault="00914440" w:rsidP="00914440">
      <w:pPr>
        <w:pStyle w:val="a8"/>
        <w:numPr>
          <w:ilvl w:val="0"/>
          <w:numId w:val="4"/>
        </w:numPr>
        <w:ind w:firstLineChars="0"/>
        <w:outlineLvl w:val="0"/>
      </w:pPr>
      <w:r>
        <w:rPr>
          <w:rFonts w:cs="宋体" w:hint="eastAsia"/>
          <w:b/>
          <w:bCs/>
        </w:rPr>
        <w:t>企业信息</w:t>
      </w:r>
    </w:p>
    <w:p w14:paraId="3EDF9A6E" w14:textId="77777777" w:rsidR="002E3716" w:rsidRPr="006843FE" w:rsidRDefault="002E3716" w:rsidP="00914440">
      <w:pPr>
        <w:pStyle w:val="a8"/>
        <w:numPr>
          <w:ilvl w:val="3"/>
          <w:numId w:val="17"/>
        </w:numPr>
        <w:ind w:firstLineChars="0"/>
        <w:jc w:val="left"/>
        <w:outlineLvl w:val="1"/>
        <w:rPr>
          <w:b/>
        </w:rPr>
      </w:pPr>
      <w:r w:rsidRPr="006843FE">
        <w:rPr>
          <w:b/>
        </w:rPr>
        <w:t>SKI或将加入吉利汽车电池供应商体系</w:t>
      </w:r>
    </w:p>
    <w:p w14:paraId="23344A80" w14:textId="77777777" w:rsidR="002E3716" w:rsidRDefault="002E3716" w:rsidP="00914440">
      <w:r>
        <w:rPr>
          <w:rFonts w:hint="eastAsia"/>
        </w:rPr>
        <w:t>吉利汽车与沃尔沃汽车共同打造的高端电动汽车品牌</w:t>
      </w:r>
      <w:r>
        <w:t>Polestar极星与SKI签署了一份谅解备忘录，双方将共同探讨开发动力电池技术和提供电池供应方面的合作机会。目前，SKI正在美国建设两座大型电池工厂，而极星Polestar3在美国投产，这为双方在动力电池供应方面达成合作提供了有利条件。一旦项目落地，意味着SKI将加入吉利汽车的动力电池供应商体系，并有望为其高端电动汽车品牌供应动力电池。</w:t>
      </w:r>
    </w:p>
    <w:p w14:paraId="281AD07E" w14:textId="77777777" w:rsidR="002E3716" w:rsidRPr="006843FE" w:rsidRDefault="002E3716" w:rsidP="00914440">
      <w:pPr>
        <w:ind w:left="210" w:hangingChars="100" w:hanging="210"/>
        <w:rPr>
          <w:rFonts w:cs="宋体"/>
          <w:b/>
          <w:bCs/>
          <w:i/>
          <w:iCs/>
        </w:rPr>
      </w:pPr>
      <w:r w:rsidRPr="00F94E69">
        <w:rPr>
          <w:rFonts w:cs="宋体" w:hint="eastAsia"/>
          <w:b/>
          <w:bCs/>
          <w:i/>
          <w:iCs/>
        </w:rPr>
        <w:t>分析：。</w:t>
      </w:r>
    </w:p>
    <w:p w14:paraId="27BD29E6" w14:textId="77777777" w:rsidR="002E3716" w:rsidRPr="00120979" w:rsidRDefault="002E3716" w:rsidP="00914440">
      <w:pPr>
        <w:pStyle w:val="a8"/>
        <w:numPr>
          <w:ilvl w:val="3"/>
          <w:numId w:val="17"/>
        </w:numPr>
        <w:ind w:firstLineChars="0"/>
        <w:jc w:val="left"/>
        <w:outlineLvl w:val="1"/>
        <w:rPr>
          <w:b/>
        </w:rPr>
      </w:pPr>
      <w:r w:rsidRPr="00120979">
        <w:rPr>
          <w:rFonts w:hint="eastAsia"/>
          <w:b/>
        </w:rPr>
        <w:t>宝马将布局动力电池回收</w:t>
      </w:r>
      <w:r w:rsidRPr="00120979">
        <w:rPr>
          <w:b/>
        </w:rPr>
        <w:t>搭建溯源平台</w:t>
      </w:r>
    </w:p>
    <w:p w14:paraId="1EFD11E8" w14:textId="77777777" w:rsidR="002E3716" w:rsidRDefault="002E3716" w:rsidP="00914440">
      <w:r>
        <w:rPr>
          <w:rFonts w:hint="eastAsia"/>
        </w:rPr>
        <w:t>在第</w:t>
      </w:r>
      <w:r>
        <w:t>11届中国汽车论坛上，宝马（中国）服务有限公司高级副总裁施博翰透露了宝马集团在动力电池回收方面的计划。据了解，宝马将通过深化与专业的电池运输和电池回收伙伴的合作，在中国建立完善的经销商高压动力电池回收管理流程。</w:t>
      </w:r>
    </w:p>
    <w:p w14:paraId="6DA4B158" w14:textId="77777777" w:rsidR="002E3716" w:rsidRDefault="002E3716" w:rsidP="00914440">
      <w:pPr>
        <w:ind w:left="210" w:hangingChars="100" w:hanging="210"/>
        <w:rPr>
          <w:rFonts w:cs="宋体"/>
          <w:b/>
          <w:bCs/>
          <w:i/>
          <w:iCs/>
        </w:rPr>
      </w:pPr>
      <w:r w:rsidRPr="00F94E69">
        <w:rPr>
          <w:rFonts w:cs="宋体" w:hint="eastAsia"/>
          <w:b/>
          <w:bCs/>
          <w:i/>
          <w:iCs/>
        </w:rPr>
        <w:t>分析：。</w:t>
      </w:r>
    </w:p>
    <w:p w14:paraId="6234626B" w14:textId="77777777" w:rsidR="002E3716" w:rsidRPr="00120979" w:rsidRDefault="002E3716" w:rsidP="00914440">
      <w:pPr>
        <w:pStyle w:val="a8"/>
        <w:numPr>
          <w:ilvl w:val="3"/>
          <w:numId w:val="17"/>
        </w:numPr>
        <w:ind w:firstLineChars="0"/>
        <w:jc w:val="left"/>
        <w:outlineLvl w:val="1"/>
        <w:rPr>
          <w:b/>
        </w:rPr>
      </w:pPr>
      <w:r w:rsidRPr="00120979">
        <w:rPr>
          <w:rFonts w:hint="eastAsia"/>
          <w:b/>
        </w:rPr>
        <w:t>宝能集团旗下联动云聚焦后市场服务</w:t>
      </w:r>
    </w:p>
    <w:p w14:paraId="0EB0A0FB" w14:textId="77777777" w:rsidR="002E3716" w:rsidRDefault="002E3716" w:rsidP="00914440">
      <w:r>
        <w:rPr>
          <w:rFonts w:hint="eastAsia"/>
        </w:rPr>
        <w:t>如今汽车成为最常见的一种交通工具，由此衍生出的各种新需求也越来越多，汽车后市场服务已经达到万亿级。而在众多的入局者当中，宝能旗下联动云可谓优势突出，其旗下“致联盟”已经颇具规模，已在</w:t>
      </w:r>
      <w:r>
        <w:t>300多个城市落地，合作联盟商超过千家。</w:t>
      </w:r>
    </w:p>
    <w:p w14:paraId="291C6532" w14:textId="77777777" w:rsidR="002E3716" w:rsidRDefault="002E3716" w:rsidP="00914440">
      <w:r>
        <w:rPr>
          <w:rFonts w:hint="eastAsia"/>
        </w:rPr>
        <w:t>在共享出行领域深耕多年，联动云如今已经实现全国</w:t>
      </w:r>
      <w:r>
        <w:t>300多座城市出行网络覆盖，超600个高铁站及60余个机场的布局，目前自主用车网点逾3万个，服务用户超3500万。</w:t>
      </w:r>
    </w:p>
    <w:p w14:paraId="416308DA" w14:textId="77777777" w:rsidR="002E3716" w:rsidRDefault="002E3716" w:rsidP="00914440">
      <w:r>
        <w:rPr>
          <w:rFonts w:hint="eastAsia"/>
        </w:rPr>
        <w:t>宝能集团旗下联动云打造的后市场品牌“致联盟”，便聚焦于</w:t>
      </w:r>
      <w:r>
        <w:t>B端资源的聚合，并不断优化汽车后市场整体服务能力，形成规范化运行模式，最终实现向用户提供标准化的一站式汽车维保、美容、车辆清洁服务等。</w:t>
      </w:r>
    </w:p>
    <w:p w14:paraId="0F577D4C" w14:textId="77777777" w:rsidR="002E3716" w:rsidRDefault="002E3716" w:rsidP="00914440">
      <w:pPr>
        <w:ind w:left="210" w:hangingChars="100" w:hanging="210"/>
        <w:rPr>
          <w:rFonts w:cs="宋体"/>
          <w:b/>
          <w:bCs/>
          <w:i/>
          <w:iCs/>
        </w:rPr>
      </w:pPr>
      <w:r w:rsidRPr="00F94E69">
        <w:rPr>
          <w:rFonts w:cs="宋体" w:hint="eastAsia"/>
          <w:b/>
          <w:bCs/>
          <w:i/>
          <w:iCs/>
        </w:rPr>
        <w:t>分析：。</w:t>
      </w:r>
    </w:p>
    <w:p w14:paraId="6F898131" w14:textId="77777777" w:rsidR="002E3716" w:rsidRPr="00886B7F" w:rsidRDefault="002E3716" w:rsidP="00914440">
      <w:pPr>
        <w:pStyle w:val="a8"/>
        <w:numPr>
          <w:ilvl w:val="3"/>
          <w:numId w:val="17"/>
        </w:numPr>
        <w:ind w:firstLineChars="0"/>
        <w:jc w:val="left"/>
        <w:outlineLvl w:val="1"/>
        <w:rPr>
          <w:b/>
        </w:rPr>
      </w:pPr>
      <w:r w:rsidRPr="00886B7F">
        <w:rPr>
          <w:rFonts w:hint="eastAsia"/>
          <w:b/>
        </w:rPr>
        <w:t>比亚迪太原投资</w:t>
      </w:r>
      <w:r w:rsidRPr="00886B7F">
        <w:rPr>
          <w:b/>
        </w:rPr>
        <w:t>20亿建50万套动力总成装配线</w:t>
      </w:r>
    </w:p>
    <w:p w14:paraId="092E18E9" w14:textId="77777777" w:rsidR="002E3716" w:rsidRPr="00BD1039" w:rsidRDefault="002E3716" w:rsidP="00914440">
      <w:r w:rsidRPr="00BD1039">
        <w:t>比亚迪在太原投资20亿元，建设年产50万套新能源汽车EHS动力总成的电动总成装配线、电机生产与装配线、铝合金压铸与机加工生产线及生产生活配套设备。</w:t>
      </w:r>
    </w:p>
    <w:p w14:paraId="487E4988" w14:textId="77777777" w:rsidR="002E3716" w:rsidRDefault="002E3716" w:rsidP="00914440">
      <w:pPr>
        <w:ind w:left="210" w:hangingChars="100" w:hanging="210"/>
        <w:rPr>
          <w:rFonts w:cs="宋体"/>
          <w:b/>
          <w:bCs/>
          <w:i/>
          <w:iCs/>
        </w:rPr>
      </w:pPr>
      <w:r w:rsidRPr="00F94E69">
        <w:rPr>
          <w:rFonts w:cs="宋体" w:hint="eastAsia"/>
          <w:b/>
          <w:bCs/>
          <w:i/>
          <w:iCs/>
        </w:rPr>
        <w:t>分析：。</w:t>
      </w:r>
    </w:p>
    <w:p w14:paraId="2FD7CAA9" w14:textId="77777777" w:rsidR="002E3716" w:rsidRPr="00886B7F" w:rsidRDefault="002E3716" w:rsidP="00914440">
      <w:pPr>
        <w:pStyle w:val="a8"/>
        <w:numPr>
          <w:ilvl w:val="3"/>
          <w:numId w:val="17"/>
        </w:numPr>
        <w:ind w:firstLineChars="0"/>
        <w:jc w:val="left"/>
        <w:outlineLvl w:val="1"/>
        <w:rPr>
          <w:b/>
        </w:rPr>
      </w:pPr>
      <w:r w:rsidRPr="00886B7F">
        <w:rPr>
          <w:rFonts w:hint="eastAsia"/>
          <w:b/>
        </w:rPr>
        <w:t>比亚迪最早或</w:t>
      </w:r>
      <w:r w:rsidRPr="00886B7F">
        <w:rPr>
          <w:b/>
        </w:rPr>
        <w:t>2022年停产纯燃油车</w:t>
      </w:r>
    </w:p>
    <w:p w14:paraId="04869096" w14:textId="77777777" w:rsidR="002E3716" w:rsidRDefault="002E3716" w:rsidP="00914440">
      <w:r w:rsidRPr="00BD1039">
        <w:t>6月24日，比亚迪内部交流会议纪要显示，比亚迪内部预期2021年燃油车销量将减少至15万辆，在搭载DM-i技术的车型产销量达到目标后，最快明年纯燃油车将被全面替代。这或将预示着，最快2022年，比亚迪将全面停产纯燃油车。</w:t>
      </w:r>
    </w:p>
    <w:p w14:paraId="39658024" w14:textId="77777777" w:rsidR="002E3716" w:rsidRDefault="002E3716" w:rsidP="00914440">
      <w:pPr>
        <w:ind w:left="210" w:hangingChars="100" w:hanging="210"/>
        <w:rPr>
          <w:rFonts w:cs="宋体"/>
          <w:b/>
          <w:bCs/>
          <w:i/>
          <w:iCs/>
        </w:rPr>
      </w:pPr>
      <w:r w:rsidRPr="00F94E69">
        <w:rPr>
          <w:rFonts w:cs="宋体" w:hint="eastAsia"/>
          <w:b/>
          <w:bCs/>
          <w:i/>
          <w:iCs/>
        </w:rPr>
        <w:t>分析：。</w:t>
      </w:r>
    </w:p>
    <w:p w14:paraId="05F1C105" w14:textId="77777777" w:rsidR="002E3716" w:rsidRPr="000916B8" w:rsidRDefault="002E3716" w:rsidP="00914440">
      <w:pPr>
        <w:pStyle w:val="a8"/>
        <w:numPr>
          <w:ilvl w:val="3"/>
          <w:numId w:val="17"/>
        </w:numPr>
        <w:ind w:firstLineChars="0"/>
        <w:jc w:val="left"/>
        <w:outlineLvl w:val="1"/>
        <w:rPr>
          <w:b/>
        </w:rPr>
      </w:pPr>
      <w:r w:rsidRPr="000916B8">
        <w:rPr>
          <w:rFonts w:hint="eastAsia"/>
          <w:b/>
        </w:rPr>
        <w:t>蜂巢能源签约投建南京溧水</w:t>
      </w:r>
      <w:r w:rsidRPr="000916B8">
        <w:rPr>
          <w:b/>
        </w:rPr>
        <w:t>14.6GWh电池产能</w:t>
      </w:r>
    </w:p>
    <w:p w14:paraId="26868B6C" w14:textId="77777777" w:rsidR="002E3716" w:rsidRDefault="002E3716" w:rsidP="00914440">
      <w:r>
        <w:t>6月22日，蜂巢能源科技有限公司与南京市溧水开发区签订协议，计划投资56亿元在该区建设总产能14.6GWh的动力电池生产基地。</w:t>
      </w:r>
    </w:p>
    <w:p w14:paraId="129F8754" w14:textId="77777777" w:rsidR="002E3716" w:rsidRDefault="002E3716" w:rsidP="00914440">
      <w:pPr>
        <w:ind w:left="210" w:hangingChars="100" w:hanging="210"/>
        <w:rPr>
          <w:rFonts w:cs="宋体"/>
          <w:b/>
          <w:bCs/>
          <w:i/>
          <w:iCs/>
        </w:rPr>
      </w:pPr>
      <w:r w:rsidRPr="00F94E69">
        <w:rPr>
          <w:rFonts w:cs="宋体" w:hint="eastAsia"/>
          <w:b/>
          <w:bCs/>
          <w:i/>
          <w:iCs/>
        </w:rPr>
        <w:t>分析：。</w:t>
      </w:r>
    </w:p>
    <w:p w14:paraId="15E9A186" w14:textId="77777777" w:rsidR="002E3716" w:rsidRPr="001433D4" w:rsidRDefault="002E3716" w:rsidP="00914440">
      <w:pPr>
        <w:pStyle w:val="a8"/>
        <w:numPr>
          <w:ilvl w:val="3"/>
          <w:numId w:val="17"/>
        </w:numPr>
        <w:ind w:firstLineChars="0"/>
        <w:jc w:val="left"/>
        <w:outlineLvl w:val="1"/>
        <w:rPr>
          <w:b/>
        </w:rPr>
      </w:pPr>
      <w:r w:rsidRPr="001433D4">
        <w:rPr>
          <w:rFonts w:hint="eastAsia"/>
          <w:b/>
        </w:rPr>
        <w:t>国轩高科宣布肥东国轩电池材料项目正式奠基</w:t>
      </w:r>
    </w:p>
    <w:p w14:paraId="3EE64588" w14:textId="77777777" w:rsidR="002E3716" w:rsidRDefault="002E3716" w:rsidP="00914440">
      <w:r>
        <w:t>6月23日，国轩高科对外宣布，其肥东国轩电池材料基地项目正式奠基。</w:t>
      </w:r>
    </w:p>
    <w:p w14:paraId="2306408F" w14:textId="77777777" w:rsidR="002E3716" w:rsidRDefault="002E3716" w:rsidP="00914440">
      <w:r>
        <w:rPr>
          <w:rFonts w:hint="eastAsia"/>
        </w:rPr>
        <w:t>据悉，肥东国轩电池材料基地项目位于合肥循环经济示范园内，规划占地</w:t>
      </w:r>
      <w:r>
        <w:t>2280亩，总投资预计120亿元。项目建设内容涵盖锂离子动力电池的前端原材料和后端电池回收及梯次利用等，项目将统一规划、分期实施。</w:t>
      </w:r>
    </w:p>
    <w:p w14:paraId="41E772BC" w14:textId="77777777" w:rsidR="002E3716" w:rsidRDefault="002E3716" w:rsidP="00914440">
      <w:r>
        <w:rPr>
          <w:rFonts w:hint="eastAsia"/>
        </w:rPr>
        <w:t>项目建成后，将保证国轩高科</w:t>
      </w:r>
      <w:r>
        <w:t>2025年动力电池产能达到100GWh的原材料供应，并切实解决锂电池回收和梯次利用问题，一期部分项目预计2022年投产。</w:t>
      </w:r>
    </w:p>
    <w:p w14:paraId="67296665" w14:textId="77777777" w:rsidR="002E3716" w:rsidRDefault="002E3716" w:rsidP="00914440">
      <w:pPr>
        <w:ind w:left="210" w:hangingChars="100" w:hanging="210"/>
        <w:rPr>
          <w:rFonts w:cs="宋体"/>
          <w:b/>
          <w:bCs/>
          <w:i/>
          <w:iCs/>
        </w:rPr>
      </w:pPr>
      <w:r w:rsidRPr="00F94E69">
        <w:rPr>
          <w:rFonts w:cs="宋体" w:hint="eastAsia"/>
          <w:b/>
          <w:bCs/>
          <w:i/>
          <w:iCs/>
        </w:rPr>
        <w:t>分析：。</w:t>
      </w:r>
    </w:p>
    <w:p w14:paraId="3A4A1133" w14:textId="77777777" w:rsidR="002E3716" w:rsidRPr="00886B7F" w:rsidRDefault="002E3716" w:rsidP="00914440">
      <w:pPr>
        <w:pStyle w:val="a8"/>
        <w:numPr>
          <w:ilvl w:val="3"/>
          <w:numId w:val="17"/>
        </w:numPr>
        <w:ind w:firstLineChars="0"/>
        <w:jc w:val="left"/>
        <w:outlineLvl w:val="1"/>
        <w:rPr>
          <w:b/>
        </w:rPr>
      </w:pPr>
      <w:r w:rsidRPr="00886B7F">
        <w:rPr>
          <w:rFonts w:hint="eastAsia"/>
          <w:b/>
        </w:rPr>
        <w:t>毫末智行：未来三年搭载毫末自动驾驶系统乘用车超</w:t>
      </w:r>
      <w:r w:rsidRPr="00886B7F">
        <w:rPr>
          <w:b/>
        </w:rPr>
        <w:t>100万辆</w:t>
      </w:r>
    </w:p>
    <w:p w14:paraId="4682A991" w14:textId="77777777" w:rsidR="002E3716" w:rsidRPr="002C1C8F" w:rsidRDefault="002E3716" w:rsidP="00914440">
      <w:r w:rsidRPr="002C1C8F">
        <w:t>6月22日，毫末智行举办第二期品牌开放日。活动期间，毫末智行董事长张凯、CEO顾维灏分享了该公司2021上半年在产品、规模、技术、合作四个方面取得的成绩。</w:t>
      </w:r>
    </w:p>
    <w:p w14:paraId="1DB009ED" w14:textId="77777777" w:rsidR="002E3716" w:rsidRPr="00886B7F" w:rsidRDefault="002E3716" w:rsidP="00914440">
      <w:pPr>
        <w:ind w:left="210" w:hangingChars="100" w:hanging="210"/>
        <w:rPr>
          <w:rFonts w:cs="宋体"/>
          <w:b/>
          <w:bCs/>
          <w:i/>
          <w:iCs/>
        </w:rPr>
      </w:pPr>
      <w:r w:rsidRPr="00F94E69">
        <w:rPr>
          <w:rFonts w:cs="宋体" w:hint="eastAsia"/>
          <w:b/>
          <w:bCs/>
          <w:i/>
          <w:iCs/>
        </w:rPr>
        <w:t>分析：。</w:t>
      </w:r>
    </w:p>
    <w:p w14:paraId="0579924E" w14:textId="77777777" w:rsidR="002E3716" w:rsidRPr="00694EA1" w:rsidRDefault="002E3716" w:rsidP="00914440">
      <w:pPr>
        <w:pStyle w:val="a8"/>
        <w:numPr>
          <w:ilvl w:val="3"/>
          <w:numId w:val="17"/>
        </w:numPr>
        <w:ind w:firstLineChars="0"/>
        <w:jc w:val="left"/>
        <w:outlineLvl w:val="1"/>
        <w:rPr>
          <w:b/>
        </w:rPr>
      </w:pPr>
      <w:r w:rsidRPr="00694EA1">
        <w:rPr>
          <w:rFonts w:hint="eastAsia"/>
          <w:b/>
        </w:rPr>
        <w:t>南京四维智联总部落成</w:t>
      </w:r>
      <w:r w:rsidRPr="00694EA1">
        <w:rPr>
          <w:b/>
        </w:rPr>
        <w:t>推动车联网发展</w:t>
      </w:r>
    </w:p>
    <w:p w14:paraId="23EE7F92" w14:textId="77777777" w:rsidR="002E3716" w:rsidRDefault="002E3716" w:rsidP="00914440">
      <w:r>
        <w:rPr>
          <w:rFonts w:hint="eastAsia"/>
        </w:rPr>
        <w:t>四维智联总部正式落地南京，未来将与南京江北新区一起打造国内一流的智能网联汽车产业集群做出贡献。</w:t>
      </w:r>
    </w:p>
    <w:p w14:paraId="0FA0D796" w14:textId="77777777" w:rsidR="002E3716" w:rsidRDefault="002E3716" w:rsidP="00914440">
      <w:r>
        <w:rPr>
          <w:rFonts w:hint="eastAsia"/>
        </w:rPr>
        <w:t>公开信息显示，四维智联自成立以来，构建了从智能网联解决方案、车联网服务、车联网大数据等方面的技术研究、产品开发和服务运营在内的软硬件一体化汽车智能解决方案。</w:t>
      </w:r>
    </w:p>
    <w:p w14:paraId="287B5D46" w14:textId="77777777" w:rsidR="002E3716" w:rsidRDefault="002E3716" w:rsidP="00914440">
      <w:pPr>
        <w:ind w:left="210" w:hangingChars="100" w:hanging="210"/>
        <w:rPr>
          <w:rFonts w:cs="宋体"/>
          <w:b/>
          <w:bCs/>
          <w:i/>
          <w:iCs/>
        </w:rPr>
      </w:pPr>
      <w:r w:rsidRPr="00F94E69">
        <w:rPr>
          <w:rFonts w:cs="宋体" w:hint="eastAsia"/>
          <w:b/>
          <w:bCs/>
          <w:i/>
          <w:iCs/>
        </w:rPr>
        <w:t>分析：。</w:t>
      </w:r>
    </w:p>
    <w:p w14:paraId="1FB620B8" w14:textId="77777777" w:rsidR="002E3716" w:rsidRPr="005147D5" w:rsidRDefault="002E3716" w:rsidP="00914440">
      <w:pPr>
        <w:pStyle w:val="a8"/>
        <w:numPr>
          <w:ilvl w:val="3"/>
          <w:numId w:val="17"/>
        </w:numPr>
        <w:ind w:firstLineChars="0"/>
        <w:jc w:val="left"/>
        <w:outlineLvl w:val="1"/>
        <w:rPr>
          <w:b/>
        </w:rPr>
      </w:pPr>
      <w:r w:rsidRPr="005147D5">
        <w:rPr>
          <w:rFonts w:hint="eastAsia"/>
          <w:b/>
        </w:rPr>
        <w:t>宁德时代宜宾动力电池项目一期正式投运</w:t>
      </w:r>
    </w:p>
    <w:p w14:paraId="291207F7" w14:textId="6CA44D34" w:rsidR="002E3716" w:rsidRDefault="002E3716" w:rsidP="00914440">
      <w:r>
        <w:rPr>
          <w:rFonts w:hint="eastAsia"/>
        </w:rPr>
        <w:t>宁德时代全资子公司四川时代新能源科技有限公司（以下简称“四川时代”）动力电池一期项目正式投运。宜宾基地是宁德时代全球化布局的重要组成部分，建成后将成为宁德时代在西南地区具有战略意义的、最重要的动力电池生产基地。宜宾基地将以更高效率为全国乃至全球整车合作伙伴完成配套服务。</w:t>
      </w:r>
    </w:p>
    <w:p w14:paraId="33C84F65" w14:textId="77777777" w:rsidR="002E3716" w:rsidRDefault="002E3716" w:rsidP="00914440">
      <w:pPr>
        <w:ind w:left="210" w:hangingChars="100" w:hanging="210"/>
        <w:rPr>
          <w:rFonts w:cs="宋体"/>
          <w:b/>
          <w:bCs/>
          <w:i/>
          <w:iCs/>
        </w:rPr>
      </w:pPr>
      <w:r w:rsidRPr="00F94E69">
        <w:rPr>
          <w:rFonts w:cs="宋体" w:hint="eastAsia"/>
          <w:b/>
          <w:bCs/>
          <w:i/>
          <w:iCs/>
        </w:rPr>
        <w:t>分析：。</w:t>
      </w:r>
    </w:p>
    <w:p w14:paraId="269AA62B" w14:textId="77777777" w:rsidR="002E3716" w:rsidRPr="001E19C2" w:rsidRDefault="002E3716" w:rsidP="00914440">
      <w:pPr>
        <w:pStyle w:val="a8"/>
        <w:numPr>
          <w:ilvl w:val="3"/>
          <w:numId w:val="17"/>
        </w:numPr>
        <w:ind w:firstLineChars="0"/>
        <w:jc w:val="left"/>
        <w:outlineLvl w:val="1"/>
        <w:rPr>
          <w:b/>
        </w:rPr>
      </w:pPr>
      <w:r w:rsidRPr="001E19C2">
        <w:rPr>
          <w:rFonts w:hint="eastAsia"/>
          <w:b/>
        </w:rPr>
        <w:t>上汽旗下捷氢科技将率先分拆上市</w:t>
      </w:r>
      <w:r w:rsidRPr="001E19C2">
        <w:rPr>
          <w:b/>
        </w:rPr>
        <w:t>优先考虑科创板</w:t>
      </w:r>
    </w:p>
    <w:p w14:paraId="15E5763F" w14:textId="77777777" w:rsidR="002E3716" w:rsidRDefault="002E3716" w:rsidP="00914440">
      <w:r w:rsidRPr="00CC16EA">
        <w:t>6月24日消息，上汽集团副总裁祖似杰今日透露，上汽旗下氢燃料电池系统企业捷氢科技已准备分拆上市，优先考虑科创板；高清地图企业中海庭已完成混改，今年开启社会融资；联创电子即将进入混改阶段。上汽方面此前曾表示，计划三年内实现捷氢科技、中海庭和联创电子的分拆上市。</w:t>
      </w:r>
    </w:p>
    <w:p w14:paraId="1EF61253" w14:textId="77777777" w:rsidR="002E3716" w:rsidRPr="001E19C2" w:rsidRDefault="002E3716" w:rsidP="00914440">
      <w:pPr>
        <w:ind w:left="210" w:hangingChars="100" w:hanging="210"/>
        <w:rPr>
          <w:rFonts w:cs="宋体"/>
          <w:b/>
          <w:bCs/>
          <w:i/>
          <w:iCs/>
        </w:rPr>
      </w:pPr>
      <w:r w:rsidRPr="00F94E69">
        <w:rPr>
          <w:rFonts w:cs="宋体" w:hint="eastAsia"/>
          <w:b/>
          <w:bCs/>
          <w:i/>
          <w:iCs/>
        </w:rPr>
        <w:t>分析：。</w:t>
      </w:r>
    </w:p>
    <w:p w14:paraId="6129BFE9" w14:textId="77777777" w:rsidR="002E3716" w:rsidRPr="00D45ABA" w:rsidRDefault="002E3716" w:rsidP="00914440">
      <w:pPr>
        <w:pStyle w:val="a8"/>
        <w:numPr>
          <w:ilvl w:val="3"/>
          <w:numId w:val="17"/>
        </w:numPr>
        <w:ind w:firstLineChars="0"/>
        <w:jc w:val="left"/>
        <w:outlineLvl w:val="1"/>
        <w:rPr>
          <w:b/>
        </w:rPr>
      </w:pPr>
      <w:r w:rsidRPr="00D45ABA">
        <w:rPr>
          <w:b/>
        </w:rPr>
        <w:t>时代上汽动力电池二期项目开工120亿</w:t>
      </w:r>
    </w:p>
    <w:p w14:paraId="19B42B9B" w14:textId="77777777" w:rsidR="002E3716" w:rsidRDefault="002E3716" w:rsidP="00914440">
      <w:r w:rsidRPr="004235A9">
        <w:rPr>
          <w:rFonts w:hint="eastAsia"/>
        </w:rPr>
        <w:t>时代上汽先进动力电池产业化项目（二期）</w:t>
      </w:r>
      <w:r w:rsidRPr="004235A9">
        <w:t>在溧阳高新区开工，该项目总投资约120亿元，这标志着上汽与宁德时代的合作步入了新的台阶。</w:t>
      </w:r>
    </w:p>
    <w:p w14:paraId="2FF9AA9B" w14:textId="77777777" w:rsidR="002E3716" w:rsidRDefault="002E3716" w:rsidP="00914440">
      <w:pPr>
        <w:ind w:left="210" w:hangingChars="100" w:hanging="210"/>
        <w:rPr>
          <w:rFonts w:cs="宋体"/>
          <w:b/>
          <w:bCs/>
          <w:i/>
          <w:iCs/>
        </w:rPr>
      </w:pPr>
      <w:r w:rsidRPr="00F94E69">
        <w:rPr>
          <w:rFonts w:cs="宋体" w:hint="eastAsia"/>
          <w:b/>
          <w:bCs/>
          <w:i/>
          <w:iCs/>
        </w:rPr>
        <w:t>分析：。</w:t>
      </w:r>
    </w:p>
    <w:p w14:paraId="1812D939" w14:textId="77777777" w:rsidR="002E3716" w:rsidRPr="001E19C2" w:rsidRDefault="002E3716" w:rsidP="00914440">
      <w:pPr>
        <w:pStyle w:val="a8"/>
        <w:numPr>
          <w:ilvl w:val="3"/>
          <w:numId w:val="17"/>
        </w:numPr>
        <w:ind w:firstLineChars="0"/>
        <w:jc w:val="left"/>
        <w:outlineLvl w:val="1"/>
        <w:rPr>
          <w:b/>
        </w:rPr>
      </w:pPr>
      <w:r w:rsidRPr="001E19C2">
        <w:rPr>
          <w:rFonts w:hint="eastAsia"/>
          <w:b/>
        </w:rPr>
        <w:t>特斯拉公布在中国的超级充电路线</w:t>
      </w:r>
    </w:p>
    <w:p w14:paraId="26241C2D" w14:textId="77777777" w:rsidR="002E3716" w:rsidRDefault="002E3716" w:rsidP="00914440">
      <w:r w:rsidRPr="004235A9">
        <w:t>据特斯拉中国官方推特显示，特斯拉日前公布其在中国的超级充电路线，东西横跨5000公里，沿途共设27个电动汽车超级充电站。</w:t>
      </w:r>
    </w:p>
    <w:p w14:paraId="5259B43A" w14:textId="77777777" w:rsidR="002E3716" w:rsidRPr="001E19C2" w:rsidRDefault="002E3716" w:rsidP="004E2655">
      <w:pPr>
        <w:ind w:left="210" w:hangingChars="100" w:hanging="210"/>
        <w:rPr>
          <w:rFonts w:cs="宋体"/>
          <w:b/>
          <w:bCs/>
          <w:i/>
          <w:iCs/>
        </w:rPr>
      </w:pPr>
      <w:r w:rsidRPr="00F94E69">
        <w:rPr>
          <w:rFonts w:cs="宋体" w:hint="eastAsia"/>
          <w:b/>
          <w:bCs/>
          <w:i/>
          <w:iCs/>
        </w:rPr>
        <w:t>分析：。</w:t>
      </w:r>
    </w:p>
    <w:p w14:paraId="5663F2A8" w14:textId="77777777" w:rsidR="002E3716" w:rsidRPr="00120979" w:rsidRDefault="002E3716" w:rsidP="00914440">
      <w:pPr>
        <w:pStyle w:val="a8"/>
        <w:numPr>
          <w:ilvl w:val="3"/>
          <w:numId w:val="17"/>
        </w:numPr>
        <w:ind w:firstLineChars="0"/>
        <w:jc w:val="left"/>
        <w:outlineLvl w:val="1"/>
        <w:rPr>
          <w:b/>
        </w:rPr>
      </w:pPr>
      <w:r w:rsidRPr="00120979">
        <w:rPr>
          <w:rFonts w:hint="eastAsia"/>
          <w:b/>
        </w:rPr>
        <w:t>蔚来首座高速服务区第二代换电站上线</w:t>
      </w:r>
    </w:p>
    <w:p w14:paraId="5360EBD9" w14:textId="77777777" w:rsidR="002E3716" w:rsidRDefault="002E3716" w:rsidP="00914440">
      <w:r>
        <w:rPr>
          <w:rFonts w:hint="eastAsia"/>
        </w:rPr>
        <w:t>蔚来首座高速服务区蔚来第二代换电站</w:t>
      </w:r>
      <w:r>
        <w:t>|G30高速洛阳服务区，于6月17日落成并启用。该站的启用，标志着蔚来高速服务区二代换电站布局正式开启。随着全国充换电网络持续布局，蔚来也将逐步完善全国各大高速主干线补能体系。</w:t>
      </w:r>
    </w:p>
    <w:p w14:paraId="4844D559" w14:textId="77777777" w:rsidR="002E3716" w:rsidRDefault="002E3716" w:rsidP="00914440">
      <w:r>
        <w:rPr>
          <w:rFonts w:hint="eastAsia"/>
        </w:rPr>
        <w:t>据悉，新站位于</w:t>
      </w:r>
      <w:r>
        <w:t>G30连霍高速（霍尔果斯方向）洛阳服务区的停车区内，该服务区满足双向互通的基础条件，可为途径这里的用户提供更便捷的补能服务。</w:t>
      </w:r>
    </w:p>
    <w:p w14:paraId="13B9984B" w14:textId="77777777" w:rsidR="002E3716" w:rsidRDefault="002E3716" w:rsidP="00914440">
      <w:pPr>
        <w:ind w:left="210" w:hangingChars="100" w:hanging="210"/>
        <w:rPr>
          <w:rFonts w:cs="宋体"/>
          <w:b/>
          <w:bCs/>
          <w:i/>
          <w:iCs/>
        </w:rPr>
      </w:pPr>
      <w:r w:rsidRPr="00F94E69">
        <w:rPr>
          <w:rFonts w:cs="宋体" w:hint="eastAsia"/>
          <w:b/>
          <w:bCs/>
          <w:i/>
          <w:iCs/>
        </w:rPr>
        <w:t>分析：。</w:t>
      </w:r>
    </w:p>
    <w:p w14:paraId="52142A5F" w14:textId="77777777" w:rsidR="002E3716" w:rsidRPr="00694EA1" w:rsidRDefault="002E3716" w:rsidP="00914440">
      <w:pPr>
        <w:pStyle w:val="a8"/>
        <w:numPr>
          <w:ilvl w:val="3"/>
          <w:numId w:val="17"/>
        </w:numPr>
        <w:ind w:firstLineChars="0"/>
        <w:jc w:val="left"/>
        <w:outlineLvl w:val="1"/>
        <w:rPr>
          <w:b/>
        </w:rPr>
      </w:pPr>
      <w:r w:rsidRPr="00694EA1">
        <w:rPr>
          <w:rFonts w:hint="eastAsia"/>
          <w:b/>
        </w:rPr>
        <w:t>小米有品经营范围新增新能源换电设施销售</w:t>
      </w:r>
    </w:p>
    <w:p w14:paraId="22CD34B9" w14:textId="7E1523D6" w:rsidR="002E3716" w:rsidRDefault="002E3716" w:rsidP="00487FF4">
      <w:r>
        <w:t>小米有品关联公司有品信息科技有限公司发生工商变更，经营范围新增新能源汽车电附件销售；新能源汽车换电设施销售等。本公开是关于一种车辆功能控制方法、车辆功能控制装置及存储介质。通过本公开可以保证在提供无感控制功能时，降低车辆与终端的功耗，并减少硬件成本。</w:t>
      </w:r>
    </w:p>
    <w:p w14:paraId="356C73AD" w14:textId="77777777" w:rsidR="002E3716" w:rsidRDefault="002E3716" w:rsidP="00914440">
      <w:pPr>
        <w:ind w:left="210" w:hangingChars="100" w:hanging="210"/>
        <w:rPr>
          <w:rFonts w:cs="宋体"/>
          <w:b/>
          <w:bCs/>
          <w:i/>
          <w:iCs/>
        </w:rPr>
      </w:pPr>
      <w:r w:rsidRPr="00F94E69">
        <w:rPr>
          <w:rFonts w:cs="宋体" w:hint="eastAsia"/>
          <w:b/>
          <w:bCs/>
          <w:i/>
          <w:iCs/>
        </w:rPr>
        <w:t>分析：。</w:t>
      </w:r>
    </w:p>
    <w:p w14:paraId="1C9E7EDA" w14:textId="77777777" w:rsidR="002E3716" w:rsidRPr="00886B7F" w:rsidRDefault="002E3716" w:rsidP="00914440">
      <w:pPr>
        <w:pStyle w:val="a8"/>
        <w:numPr>
          <w:ilvl w:val="3"/>
          <w:numId w:val="17"/>
        </w:numPr>
        <w:ind w:firstLineChars="0"/>
        <w:jc w:val="left"/>
        <w:outlineLvl w:val="1"/>
        <w:rPr>
          <w:b/>
        </w:rPr>
      </w:pPr>
      <w:r w:rsidRPr="00886B7F">
        <w:rPr>
          <w:rFonts w:hint="eastAsia"/>
          <w:b/>
        </w:rPr>
        <w:t>小鹏汽车将推出高端</w:t>
      </w:r>
      <w:r w:rsidRPr="00886B7F">
        <w:rPr>
          <w:b/>
        </w:rPr>
        <w:t>SUV，预计售价30万</w:t>
      </w:r>
    </w:p>
    <w:p w14:paraId="07754438" w14:textId="0C0CB8C3" w:rsidR="002E3716" w:rsidRDefault="002E3716" w:rsidP="00914440">
      <w:r w:rsidRPr="00BD1039">
        <w:t>小鹏汽车将于2022年推出第四款车型，新车定位中大型SUV，预计售价将在30万元左右。</w:t>
      </w:r>
    </w:p>
    <w:p w14:paraId="38C6D5B6" w14:textId="77777777" w:rsidR="002E3716" w:rsidRDefault="002E3716" w:rsidP="00914440">
      <w:pPr>
        <w:ind w:left="210" w:hangingChars="100" w:hanging="210"/>
        <w:rPr>
          <w:rFonts w:cs="宋体"/>
          <w:b/>
          <w:bCs/>
          <w:i/>
          <w:iCs/>
        </w:rPr>
      </w:pPr>
      <w:r w:rsidRPr="00F94E69">
        <w:rPr>
          <w:rFonts w:cs="宋体" w:hint="eastAsia"/>
          <w:b/>
          <w:bCs/>
          <w:i/>
          <w:iCs/>
        </w:rPr>
        <w:t>分析：。</w:t>
      </w:r>
    </w:p>
    <w:p w14:paraId="3F0177E4" w14:textId="77777777" w:rsidR="002E3716" w:rsidRPr="00694EA1" w:rsidRDefault="002E3716" w:rsidP="00914440">
      <w:pPr>
        <w:pStyle w:val="a8"/>
        <w:numPr>
          <w:ilvl w:val="3"/>
          <w:numId w:val="17"/>
        </w:numPr>
        <w:ind w:firstLineChars="0"/>
        <w:jc w:val="left"/>
        <w:outlineLvl w:val="1"/>
        <w:rPr>
          <w:b/>
        </w:rPr>
      </w:pPr>
      <w:r w:rsidRPr="00694EA1">
        <w:rPr>
          <w:rFonts w:hint="eastAsia"/>
          <w:b/>
        </w:rPr>
        <w:t>云度全国第一家用户服务中心</w:t>
      </w:r>
      <w:r w:rsidRPr="00694EA1">
        <w:rPr>
          <w:b/>
        </w:rPr>
        <w:t>入驻福州</w:t>
      </w:r>
    </w:p>
    <w:p w14:paraId="36613853" w14:textId="77777777" w:rsidR="002E3716" w:rsidRDefault="002E3716" w:rsidP="00914440">
      <w:r>
        <w:rPr>
          <w:rFonts w:hint="eastAsia"/>
        </w:rPr>
        <w:t>云度福州用户服务中心直营店正式开业。据了解，这是继今年三月云度首批品牌中心店入驻上海、深圳之后，云度在全国布局的首家直营用户服务中心，它将会为福州及周边市场的用户提供全面的一站式标准化交付及售后服务。</w:t>
      </w:r>
    </w:p>
    <w:p w14:paraId="4ABAA177" w14:textId="77777777" w:rsidR="002E3716" w:rsidRDefault="002E3716" w:rsidP="00914440">
      <w:r>
        <w:rPr>
          <w:rFonts w:hint="eastAsia"/>
        </w:rPr>
        <w:t>数据显示，福州用户服务中心总面积达</w:t>
      </w:r>
      <w:r>
        <w:t>1450平方米，2层的建筑空间包含体验中心、全新可视化维修车间、洗车服务区、客户休息娱乐及多功能办公区。为了满足用户多样化的需求，云度汽车福州用户服务中心不仅拥有品牌形象展示及维修、洗车等售后服务功能，还为用户提供极致的全生命周期的管家式服务及休闲娱乐、社交分享等更多功能。</w:t>
      </w:r>
    </w:p>
    <w:p w14:paraId="74D13FD9" w14:textId="77777777" w:rsidR="002E3716" w:rsidRDefault="002E3716" w:rsidP="00914440">
      <w:pPr>
        <w:ind w:left="210" w:hangingChars="100" w:hanging="210"/>
        <w:rPr>
          <w:rFonts w:cs="宋体"/>
          <w:b/>
          <w:bCs/>
          <w:i/>
          <w:iCs/>
        </w:rPr>
      </w:pPr>
      <w:r w:rsidRPr="00F94E69">
        <w:rPr>
          <w:rFonts w:cs="宋体" w:hint="eastAsia"/>
          <w:b/>
          <w:bCs/>
          <w:i/>
          <w:iCs/>
        </w:rPr>
        <w:t>分析：。</w:t>
      </w:r>
    </w:p>
    <w:p w14:paraId="1A8B5E12" w14:textId="77777777" w:rsidR="002E3716" w:rsidRPr="006843FE" w:rsidRDefault="002E3716" w:rsidP="00914440">
      <w:pPr>
        <w:pStyle w:val="a8"/>
        <w:numPr>
          <w:ilvl w:val="3"/>
          <w:numId w:val="17"/>
        </w:numPr>
        <w:ind w:firstLineChars="0"/>
        <w:jc w:val="left"/>
        <w:outlineLvl w:val="1"/>
        <w:rPr>
          <w:b/>
        </w:rPr>
      </w:pPr>
      <w:r w:rsidRPr="006843FE">
        <w:rPr>
          <w:rFonts w:hint="eastAsia"/>
          <w:b/>
        </w:rPr>
        <w:t>长城汽车与道达尔能源深化战略合作</w:t>
      </w:r>
    </w:p>
    <w:p w14:paraId="6FA4A44A" w14:textId="77777777" w:rsidR="002E3716" w:rsidRDefault="002E3716" w:rsidP="00914440">
      <w:r>
        <w:rPr>
          <w:rFonts w:hint="eastAsia"/>
        </w:rPr>
        <w:t>长城汽车与全球多元化能源公司道达尔能源于中国保定签署了两项协议，包括打造新能源汽车流体联合实验室、拓展海外业务合作等。长城汽车副总裁单红艳表示：“自</w:t>
      </w:r>
      <w:r>
        <w:t>2009年与道达尔能源合作以来，我们将道达尔能源视为技术层面的战略合作伙伴；双方在润滑油研发方面已经建有多项成果，随着在联合实验室上的进一步合作，我们期望在新能源汽车流体领域引领更多的创新和创造更多的贡献。”</w:t>
      </w:r>
    </w:p>
    <w:p w14:paraId="1A3F9D3A" w14:textId="77777777" w:rsidR="002E3716" w:rsidRDefault="002E3716" w:rsidP="00914440">
      <w:pPr>
        <w:ind w:left="210" w:hangingChars="100" w:hanging="210"/>
        <w:rPr>
          <w:rFonts w:cs="宋体"/>
          <w:b/>
          <w:bCs/>
          <w:i/>
          <w:iCs/>
        </w:rPr>
      </w:pPr>
      <w:r w:rsidRPr="00F94E69">
        <w:rPr>
          <w:rFonts w:cs="宋体" w:hint="eastAsia"/>
          <w:b/>
          <w:bCs/>
          <w:i/>
          <w:iCs/>
        </w:rPr>
        <w:t>分析：。</w:t>
      </w:r>
    </w:p>
    <w:p w14:paraId="157F74BE" w14:textId="00021FA5" w:rsidR="002E3716" w:rsidRPr="001433D4" w:rsidRDefault="002E3716" w:rsidP="00914440">
      <w:pPr>
        <w:pStyle w:val="a8"/>
        <w:numPr>
          <w:ilvl w:val="3"/>
          <w:numId w:val="17"/>
        </w:numPr>
        <w:ind w:firstLineChars="0"/>
        <w:jc w:val="left"/>
        <w:outlineLvl w:val="1"/>
        <w:rPr>
          <w:b/>
        </w:rPr>
      </w:pPr>
      <w:r w:rsidRPr="001433D4">
        <w:rPr>
          <w:b/>
        </w:rPr>
        <w:t>天际汽车</w:t>
      </w:r>
      <w:r w:rsidR="00845653" w:rsidRPr="001433D4">
        <w:rPr>
          <w:rFonts w:hint="eastAsia"/>
          <w:b/>
        </w:rPr>
        <w:t>长沙工厂投产</w:t>
      </w:r>
      <w:r w:rsidRPr="001433D4">
        <w:rPr>
          <w:b/>
        </w:rPr>
        <w:t>智造体系力升级</w:t>
      </w:r>
    </w:p>
    <w:p w14:paraId="55AE591D" w14:textId="77777777" w:rsidR="002E3716" w:rsidRDefault="002E3716" w:rsidP="00914440">
      <w:r>
        <w:rPr>
          <w:rFonts w:hint="eastAsia"/>
        </w:rPr>
        <w:t>天际汽车与京东联合打造的天际</w:t>
      </w:r>
      <w:r>
        <w:t>ME5PLUS京东定制众筹开启，并取得骄人的成绩。</w:t>
      </w:r>
    </w:p>
    <w:p w14:paraId="1C9DA14D" w14:textId="77777777" w:rsidR="002E3716" w:rsidRDefault="002E3716" w:rsidP="00914440">
      <w:r>
        <w:rPr>
          <w:rFonts w:hint="eastAsia"/>
        </w:rPr>
        <w:t>据了解，天际</w:t>
      </w:r>
      <w:r>
        <w:t>ME5由天际汽车长沙匠心智造工厂生产，采用德国工业4.0标准，关键工序100%自动化，为打造高品质和智能化产品提供了高标准的生产制造保障。</w:t>
      </w:r>
    </w:p>
    <w:p w14:paraId="6641D2CC" w14:textId="77777777" w:rsidR="002E3716" w:rsidRDefault="002E3716" w:rsidP="00914440">
      <w:r>
        <w:rPr>
          <w:rFonts w:hint="eastAsia"/>
        </w:rPr>
        <w:t>占地约</w:t>
      </w:r>
      <w:r>
        <w:t>390亩的天际汽车长沙工厂就坐落在黄桥大道的交汇处，其建筑面积近11万平方米，设有焊装、涂装和总装生产线，并且具备完善的能源综合站房、废水处理站房、质保检测中心等一系列辅助生产设施，可形成6万辆/年的生产规模。</w:t>
      </w:r>
    </w:p>
    <w:p w14:paraId="0640D56C" w14:textId="77777777" w:rsidR="002E3716" w:rsidRDefault="002E3716" w:rsidP="00914440">
      <w:pPr>
        <w:ind w:left="210" w:hangingChars="100" w:hanging="210"/>
        <w:rPr>
          <w:rFonts w:cs="宋体"/>
          <w:b/>
          <w:bCs/>
          <w:i/>
          <w:iCs/>
        </w:rPr>
      </w:pPr>
      <w:r w:rsidRPr="00F94E69">
        <w:rPr>
          <w:rFonts w:cs="宋体" w:hint="eastAsia"/>
          <w:b/>
          <w:bCs/>
          <w:i/>
          <w:iCs/>
        </w:rPr>
        <w:t>分析：。</w:t>
      </w:r>
    </w:p>
    <w:p w14:paraId="004846A3" w14:textId="77777777" w:rsidR="002E3716" w:rsidRDefault="002E3716" w:rsidP="00914440">
      <w:pPr>
        <w:ind w:left="210" w:hangingChars="100" w:hanging="210"/>
        <w:rPr>
          <w:rFonts w:cs="宋体"/>
          <w:b/>
          <w:bCs/>
          <w:i/>
          <w:iCs/>
        </w:rPr>
      </w:pPr>
    </w:p>
    <w:p w14:paraId="3DE9F475" w14:textId="77777777" w:rsidR="00914440" w:rsidRPr="00D02F70" w:rsidRDefault="00914440" w:rsidP="00914440">
      <w:pPr>
        <w:pStyle w:val="a8"/>
        <w:numPr>
          <w:ilvl w:val="0"/>
          <w:numId w:val="4"/>
        </w:numPr>
        <w:ind w:firstLineChars="0"/>
        <w:outlineLvl w:val="0"/>
        <w:rPr>
          <w:b/>
        </w:rPr>
      </w:pPr>
      <w:r>
        <w:rPr>
          <w:rFonts w:hint="eastAsia"/>
          <w:b/>
        </w:rPr>
        <w:t>行业信息</w:t>
      </w:r>
    </w:p>
    <w:p w14:paraId="18477AE0" w14:textId="77777777" w:rsidR="002E3716" w:rsidRPr="007C0C93" w:rsidRDefault="002E3716" w:rsidP="00487FF4">
      <w:pPr>
        <w:pStyle w:val="a8"/>
        <w:numPr>
          <w:ilvl w:val="0"/>
          <w:numId w:val="22"/>
        </w:numPr>
        <w:ind w:firstLineChars="0"/>
        <w:outlineLvl w:val="1"/>
        <w:rPr>
          <w:b/>
        </w:rPr>
      </w:pPr>
      <w:r w:rsidRPr="007C0C93">
        <w:rPr>
          <w:rFonts w:hint="eastAsia"/>
          <w:b/>
        </w:rPr>
        <w:t>国六接受度低</w:t>
      </w:r>
      <w:r w:rsidRPr="007C0C93">
        <w:rPr>
          <w:b/>
        </w:rPr>
        <w:t>预测:7月后国五或涨价</w:t>
      </w:r>
    </w:p>
    <w:p w14:paraId="0941A1A5" w14:textId="77777777" w:rsidR="002E3716" w:rsidRDefault="002E3716" w:rsidP="00914440">
      <w:r>
        <w:rPr>
          <w:rFonts w:hint="eastAsia"/>
        </w:rPr>
        <w:t>只有国五国六话题才能在低迷的货运行情下引起一点水花。当下，重卡市场行情的低迷让经销商面临国五“清库存”的压力，此外，面对国六接受度低的局面，有业内人士预估</w:t>
      </w:r>
      <w:r>
        <w:t>:7月后国五或因此涨价。</w:t>
      </w:r>
    </w:p>
    <w:p w14:paraId="35E2E83F" w14:textId="77777777" w:rsidR="002E3716" w:rsidRDefault="002E3716" w:rsidP="00914440">
      <w:r>
        <w:rPr>
          <w:rFonts w:hint="eastAsia"/>
        </w:rPr>
        <w:t>从目前上海经销商的反馈来看，国六车型上量难是普遍情况。主要表现有两种：一是新产品难上量，这与芯片缺少有关；二是销量上涨难。</w:t>
      </w:r>
    </w:p>
    <w:p w14:paraId="5CF4804B" w14:textId="77777777" w:rsidR="002E3716" w:rsidRDefault="002E3716" w:rsidP="00914440">
      <w:r>
        <w:rPr>
          <w:rFonts w:hint="eastAsia"/>
        </w:rPr>
        <w:t>首先就是国六接受度低，部分用户在提前使用国六车以后，发现在尿素、后处理以及油品等把控方面存在诸多问题，从而导致售后维修难。另一方面，不少用户普遍认为我国国六技术尚未成熟，配套市场也并不完善，降低了他们购买的意愿。</w:t>
      </w:r>
    </w:p>
    <w:p w14:paraId="2AEA9B0F" w14:textId="77777777" w:rsidR="002E3716" w:rsidRDefault="002E3716" w:rsidP="00914440">
      <w:r>
        <w:rPr>
          <w:rFonts w:hint="eastAsia"/>
        </w:rPr>
        <w:t>其次是国六产品价格高。从经销商的反馈来看，因为货运市场不景气，导致用户的购买欲望下降。那些来看车的用户，在听到国六产品的报价以后，转而去询问价格竞争力更具优势的同款国五车型。还有一个重要的原因是，经销商都在让利清理国五库存。出于性价比考虑，换车的用户也更有倾向购买国五车辆。</w:t>
      </w:r>
    </w:p>
    <w:p w14:paraId="054B51D0" w14:textId="77777777" w:rsidR="002E3716" w:rsidRPr="007C0C93" w:rsidRDefault="002E3716" w:rsidP="00914440">
      <w:pPr>
        <w:rPr>
          <w:rFonts w:cs="宋体"/>
          <w:b/>
          <w:bCs/>
          <w:i/>
          <w:iCs/>
        </w:rPr>
      </w:pPr>
      <w:r w:rsidRPr="002865F2">
        <w:rPr>
          <w:rFonts w:cs="宋体" w:hint="eastAsia"/>
          <w:b/>
          <w:bCs/>
          <w:i/>
          <w:iCs/>
        </w:rPr>
        <w:t>分析：。</w:t>
      </w:r>
    </w:p>
    <w:p w14:paraId="239DD66A" w14:textId="77777777" w:rsidR="002E3716" w:rsidRPr="001433D4" w:rsidRDefault="002E3716" w:rsidP="00487FF4">
      <w:pPr>
        <w:pStyle w:val="a8"/>
        <w:numPr>
          <w:ilvl w:val="0"/>
          <w:numId w:val="22"/>
        </w:numPr>
        <w:ind w:firstLineChars="0"/>
        <w:outlineLvl w:val="1"/>
        <w:rPr>
          <w:b/>
        </w:rPr>
      </w:pPr>
      <w:r w:rsidRPr="001433D4">
        <w:rPr>
          <w:rFonts w:hint="eastAsia"/>
          <w:b/>
        </w:rPr>
        <w:t>江苏建成国内首条未来高速</w:t>
      </w:r>
      <w:r w:rsidRPr="001433D4">
        <w:rPr>
          <w:b/>
        </w:rPr>
        <w:t>V2X未来可期</w:t>
      </w:r>
    </w:p>
    <w:p w14:paraId="79377194" w14:textId="77777777" w:rsidR="002E3716" w:rsidRDefault="002E3716" w:rsidP="00914440">
      <w:r>
        <w:rPr>
          <w:rFonts w:hint="eastAsia"/>
        </w:rPr>
        <w:t>五峰山长江大桥南北公路接线工程通过江苏省交通工程建设局组织的交工验收，标志着全国首条“未来高速公路”正式建成。</w:t>
      </w:r>
    </w:p>
    <w:p w14:paraId="5F0D2922" w14:textId="77777777" w:rsidR="002E3716" w:rsidRDefault="002E3716" w:rsidP="00914440">
      <w:r>
        <w:rPr>
          <w:rFonts w:hint="eastAsia"/>
        </w:rPr>
        <w:t>作为全国首条面向未来而设计、交付的“未来高速”，该段借助</w:t>
      </w:r>
      <w:r>
        <w:t>5G通信技术，推进BIM、大数据、物联网、云计算等技术与高速公路建设深度融合，建立起了全息感知的数据采集及传输系统，让道路变得更加聪明。</w:t>
      </w:r>
    </w:p>
    <w:p w14:paraId="16EFEC9F" w14:textId="77777777" w:rsidR="002E3716" w:rsidRDefault="002E3716" w:rsidP="00914440">
      <w:r>
        <w:rPr>
          <w:rFonts w:hint="eastAsia"/>
        </w:rPr>
        <w:t>其中，依托在沿途安装的路测天线，车路协同系统可与车载终端实时进行道路信息交换，辅助、控制驾驶行为，并支持无人驾驶。</w:t>
      </w:r>
    </w:p>
    <w:p w14:paraId="0D555F7D" w14:textId="77777777" w:rsidR="002E3716" w:rsidRPr="001433D4" w:rsidRDefault="002E3716" w:rsidP="00914440">
      <w:pPr>
        <w:rPr>
          <w:rFonts w:cs="宋体"/>
          <w:b/>
          <w:bCs/>
          <w:i/>
          <w:iCs/>
        </w:rPr>
      </w:pPr>
      <w:r w:rsidRPr="002865F2">
        <w:rPr>
          <w:rFonts w:cs="宋体" w:hint="eastAsia"/>
          <w:b/>
          <w:bCs/>
          <w:i/>
          <w:iCs/>
        </w:rPr>
        <w:t>分析：。</w:t>
      </w:r>
    </w:p>
    <w:p w14:paraId="4CB31A7C" w14:textId="77777777" w:rsidR="002E3716" w:rsidRPr="00D45ABA" w:rsidRDefault="002E3716" w:rsidP="00487FF4">
      <w:pPr>
        <w:pStyle w:val="a8"/>
        <w:numPr>
          <w:ilvl w:val="0"/>
          <w:numId w:val="22"/>
        </w:numPr>
        <w:ind w:firstLineChars="0"/>
        <w:outlineLvl w:val="1"/>
        <w:rPr>
          <w:b/>
        </w:rPr>
      </w:pPr>
      <w:r w:rsidRPr="00D45ABA">
        <w:rPr>
          <w:rFonts w:hint="eastAsia"/>
          <w:b/>
        </w:rPr>
        <w:t>汽车“黑匣子”</w:t>
      </w:r>
      <w:r w:rsidRPr="00D45ABA">
        <w:rPr>
          <w:b/>
        </w:rPr>
        <w:t>2022年强制上车事故鉴定将有“数”可依</w:t>
      </w:r>
    </w:p>
    <w:p w14:paraId="0E0BDE6B" w14:textId="77777777" w:rsidR="002E3716" w:rsidRDefault="002E3716" w:rsidP="00914440">
      <w:r w:rsidRPr="004235A9">
        <w:t>从2022年1月1日起，国内所有新生产的乘用车都强制要求</w:t>
      </w:r>
      <w:r w:rsidRPr="004235A9">
        <w:rPr>
          <w:rFonts w:hint="eastAsia"/>
        </w:rPr>
        <w:t>配备</w:t>
      </w:r>
      <w:r w:rsidRPr="004235A9">
        <w:t>EDR。届时，《汽车事件数据记录系统》标准也将作为EDR的技术国标，正式投入应用。</w:t>
      </w:r>
    </w:p>
    <w:p w14:paraId="78605A67" w14:textId="77777777" w:rsidR="002E3716" w:rsidRPr="00D45ABA" w:rsidRDefault="002E3716" w:rsidP="00914440">
      <w:pPr>
        <w:rPr>
          <w:rFonts w:cs="宋体"/>
          <w:b/>
          <w:bCs/>
          <w:i/>
          <w:iCs/>
        </w:rPr>
      </w:pPr>
      <w:r w:rsidRPr="002865F2">
        <w:rPr>
          <w:rFonts w:cs="宋体" w:hint="eastAsia"/>
          <w:b/>
          <w:bCs/>
          <w:i/>
          <w:iCs/>
        </w:rPr>
        <w:t>分析：。</w:t>
      </w:r>
    </w:p>
    <w:p w14:paraId="23790FB7" w14:textId="77777777" w:rsidR="002E3716" w:rsidRPr="00694EA1" w:rsidRDefault="002E3716" w:rsidP="00487FF4">
      <w:pPr>
        <w:pStyle w:val="a8"/>
        <w:numPr>
          <w:ilvl w:val="0"/>
          <w:numId w:val="22"/>
        </w:numPr>
        <w:ind w:firstLineChars="0"/>
        <w:outlineLvl w:val="1"/>
        <w:rPr>
          <w:b/>
        </w:rPr>
      </w:pPr>
      <w:r w:rsidRPr="00694EA1">
        <w:rPr>
          <w:rFonts w:hint="eastAsia"/>
          <w:b/>
        </w:rPr>
        <w:t>汽车合规改装联合推进办公室第一次工作会议召开</w:t>
      </w:r>
    </w:p>
    <w:p w14:paraId="5AA679D8" w14:textId="5F98189F" w:rsidR="002E3716" w:rsidRDefault="002E3716" w:rsidP="00914440">
      <w:r>
        <w:rPr>
          <w:rFonts w:hint="eastAsia"/>
        </w:rPr>
        <w:t>未来汽车合规改装联合推进办公室的工作内容——将围绕政策法规研究、行业标准制定、合规改装推广、合规改装示范四个方面展开，探索一条政府、行业、企业积极互动、互相促进、协同推进的良性模式，构建支持行业和市场健康可持续的发展闭环，使中国改装产业及文化能够快速稳定的成长起来。</w:t>
      </w:r>
    </w:p>
    <w:p w14:paraId="3F9D3B65" w14:textId="66D660C4" w:rsidR="002E3716" w:rsidRDefault="002E3716" w:rsidP="00914440">
      <w:pPr>
        <w:rPr>
          <w:rFonts w:cs="宋体"/>
          <w:b/>
          <w:bCs/>
          <w:i/>
          <w:iCs/>
        </w:rPr>
      </w:pPr>
      <w:r w:rsidRPr="002865F2">
        <w:rPr>
          <w:rFonts w:cs="宋体" w:hint="eastAsia"/>
          <w:b/>
          <w:bCs/>
          <w:i/>
          <w:iCs/>
        </w:rPr>
        <w:t>分析：。</w:t>
      </w:r>
    </w:p>
    <w:p w14:paraId="494B2F5F" w14:textId="77777777" w:rsidR="00845653" w:rsidRPr="00694EA1" w:rsidRDefault="00845653" w:rsidP="00914440">
      <w:pPr>
        <w:rPr>
          <w:rFonts w:cs="宋体"/>
          <w:b/>
          <w:bCs/>
          <w:i/>
          <w:iCs/>
        </w:rPr>
      </w:pPr>
    </w:p>
    <w:p w14:paraId="1E346488" w14:textId="77777777" w:rsidR="00914440" w:rsidRPr="00CC5738" w:rsidRDefault="00914440" w:rsidP="00914440">
      <w:pPr>
        <w:pStyle w:val="a8"/>
        <w:numPr>
          <w:ilvl w:val="0"/>
          <w:numId w:val="4"/>
        </w:numPr>
        <w:ind w:firstLineChars="0"/>
        <w:outlineLvl w:val="0"/>
        <w:rPr>
          <w:b/>
        </w:rPr>
      </w:pPr>
      <w:r w:rsidRPr="002009FE">
        <w:rPr>
          <w:rFonts w:cs="宋体" w:hint="eastAsia"/>
          <w:b/>
          <w:bCs/>
        </w:rPr>
        <w:t>跨国集团和国际市场</w:t>
      </w:r>
    </w:p>
    <w:p w14:paraId="7EAC03A2" w14:textId="77777777" w:rsidR="002E3716" w:rsidRPr="00886B7F" w:rsidRDefault="002E3716" w:rsidP="00914440">
      <w:pPr>
        <w:pStyle w:val="a8"/>
        <w:numPr>
          <w:ilvl w:val="0"/>
          <w:numId w:val="21"/>
        </w:numPr>
        <w:ind w:firstLineChars="0"/>
        <w:outlineLvl w:val="1"/>
        <w:rPr>
          <w:b/>
        </w:rPr>
      </w:pPr>
      <w:r w:rsidRPr="00886B7F">
        <w:rPr>
          <w:rFonts w:hint="eastAsia"/>
          <w:b/>
        </w:rPr>
        <w:t>奥迪</w:t>
      </w:r>
      <w:r w:rsidRPr="00886B7F">
        <w:rPr>
          <w:b/>
        </w:rPr>
        <w:t>2033年停产燃油车</w:t>
      </w:r>
    </w:p>
    <w:p w14:paraId="281453CA" w14:textId="77777777" w:rsidR="002E3716" w:rsidRDefault="002E3716" w:rsidP="00914440">
      <w:r w:rsidRPr="00BD1039">
        <w:t>奥迪官网宣布，从2026年起，该公司将只会推出纯电力驱动的新车型，2033年前将逐步停止生产内燃机。奥迪表示，上述停售燃油车的地域不包括中国市场。</w:t>
      </w:r>
    </w:p>
    <w:p w14:paraId="2EDF42A0" w14:textId="77777777" w:rsidR="002E3716" w:rsidRPr="00957E59" w:rsidRDefault="002E3716" w:rsidP="00914440">
      <w:pPr>
        <w:rPr>
          <w:rFonts w:cs="宋体"/>
          <w:b/>
          <w:bCs/>
          <w:i/>
          <w:iCs/>
        </w:rPr>
      </w:pPr>
      <w:r w:rsidRPr="006E0BB8">
        <w:rPr>
          <w:rFonts w:cs="宋体" w:hint="eastAsia"/>
          <w:b/>
          <w:bCs/>
          <w:i/>
          <w:iCs/>
        </w:rPr>
        <w:t>分析：。</w:t>
      </w:r>
    </w:p>
    <w:p w14:paraId="460BD096" w14:textId="77777777" w:rsidR="002E3716" w:rsidRPr="00876E94" w:rsidRDefault="002E3716" w:rsidP="00914440">
      <w:pPr>
        <w:pStyle w:val="a8"/>
        <w:numPr>
          <w:ilvl w:val="0"/>
          <w:numId w:val="21"/>
        </w:numPr>
        <w:ind w:firstLineChars="0"/>
        <w:outlineLvl w:val="1"/>
        <w:rPr>
          <w:b/>
        </w:rPr>
      </w:pPr>
      <w:r w:rsidRPr="00876E94">
        <w:rPr>
          <w:rFonts w:hint="eastAsia"/>
          <w:b/>
        </w:rPr>
        <w:t>宝马计划到</w:t>
      </w:r>
      <w:r w:rsidRPr="00876E94">
        <w:rPr>
          <w:b/>
        </w:rPr>
        <w:t>2025年将单车生产成本降低25%</w:t>
      </w:r>
    </w:p>
    <w:p w14:paraId="4E4DE9E0" w14:textId="77777777" w:rsidR="002E3716" w:rsidRDefault="002E3716" w:rsidP="00914440">
      <w:r>
        <w:rPr>
          <w:rFonts w:hint="eastAsia"/>
        </w:rPr>
        <w:t>德国汽车制造商宝马公司计划在未来四年将每辆车的生产成本削减</w:t>
      </w:r>
      <w:r>
        <w:t>25%，以增强竞争力从而更好地与特斯拉、戴姆勒和大众竞争。</w:t>
      </w:r>
    </w:p>
    <w:p w14:paraId="1E1218FC" w14:textId="77777777" w:rsidR="002E3716" w:rsidRDefault="002E3716" w:rsidP="00914440">
      <w:r>
        <w:rPr>
          <w:rFonts w:hint="eastAsia"/>
        </w:rPr>
        <w:t>当前，宝马等汽车制造商都陷入了一个两难境地，即在生产汽油动力汽车的同时，又要投资数十亿美元开发新的电动车型。</w:t>
      </w:r>
    </w:p>
    <w:p w14:paraId="37553086" w14:textId="77777777" w:rsidR="002E3716" w:rsidRDefault="002E3716" w:rsidP="00914440">
      <w:r>
        <w:rPr>
          <w:rFonts w:hint="eastAsia"/>
        </w:rPr>
        <w:t>电池动力汽车高昂的生产成本直接影响了汽车制造商的利润。不过，宝马将每辆车生产成本降低</w:t>
      </w:r>
      <w:r>
        <w:t>25%的计划可能会从长期带来更高的利润。销售更多价格实惠的电动汽车也将有助于宝马保持与大众汽车的竞争力，后者也在投资数十亿美元使其车型阵容电气化。</w:t>
      </w:r>
    </w:p>
    <w:p w14:paraId="5A334844" w14:textId="77777777" w:rsidR="002E3716" w:rsidRPr="00876E94" w:rsidRDefault="002E3716" w:rsidP="00914440">
      <w:pPr>
        <w:rPr>
          <w:rFonts w:cs="宋体"/>
          <w:b/>
          <w:bCs/>
          <w:i/>
          <w:iCs/>
        </w:rPr>
      </w:pPr>
      <w:r w:rsidRPr="006E0BB8">
        <w:rPr>
          <w:rFonts w:cs="宋体" w:hint="eastAsia"/>
          <w:b/>
          <w:bCs/>
          <w:i/>
          <w:iCs/>
        </w:rPr>
        <w:t>分析：。</w:t>
      </w:r>
    </w:p>
    <w:p w14:paraId="7C682C65" w14:textId="77777777" w:rsidR="002E3716" w:rsidRPr="006843FE" w:rsidRDefault="002E3716" w:rsidP="00914440">
      <w:pPr>
        <w:pStyle w:val="a8"/>
        <w:numPr>
          <w:ilvl w:val="0"/>
          <w:numId w:val="21"/>
        </w:numPr>
        <w:ind w:firstLineChars="0"/>
        <w:outlineLvl w:val="1"/>
        <w:rPr>
          <w:b/>
        </w:rPr>
      </w:pPr>
      <w:r w:rsidRPr="006843FE">
        <w:rPr>
          <w:rFonts w:hint="eastAsia"/>
          <w:b/>
        </w:rPr>
        <w:t>搭全新电池组</w:t>
      </w:r>
      <w:r w:rsidRPr="006843FE">
        <w:rPr>
          <w:b/>
        </w:rPr>
        <w:t>沃尔沃确认下一代XC60为纯电动版</w:t>
      </w:r>
    </w:p>
    <w:p w14:paraId="437C1AC6" w14:textId="77777777" w:rsidR="002E3716" w:rsidRDefault="002E3716" w:rsidP="00914440">
      <w:r>
        <w:rPr>
          <w:rFonts w:hint="eastAsia"/>
        </w:rPr>
        <w:t>沃尔沃汽车确认将使用瑞典电池公司</w:t>
      </w:r>
      <w:r>
        <w:t>Northvolt开发和组装的全新电池组，这些电池将用于下一代纯电动沃尔沃和Polestar极星车型中。其中，全新一代XC60将与沃尔沃XC40Recharge一起成为品牌首批全电动量产车型。沃尔沃CEOHakanSamuelsson表示：“通过与Northvolt合作，我们将确保为我们的纯电动汽车提供高质量、更具可持续性的电池；与Northvolt密切合作还将使我们能够加强内部开发能力。”</w:t>
      </w:r>
    </w:p>
    <w:p w14:paraId="0B1BEFFB" w14:textId="77777777" w:rsidR="002E3716" w:rsidRPr="00957E59" w:rsidRDefault="002E3716" w:rsidP="00914440">
      <w:pPr>
        <w:rPr>
          <w:rFonts w:cs="宋体"/>
          <w:b/>
          <w:bCs/>
          <w:i/>
          <w:iCs/>
        </w:rPr>
      </w:pPr>
      <w:r w:rsidRPr="006E0BB8">
        <w:rPr>
          <w:rFonts w:cs="宋体" w:hint="eastAsia"/>
          <w:b/>
          <w:bCs/>
          <w:i/>
          <w:iCs/>
        </w:rPr>
        <w:t>分析：。</w:t>
      </w:r>
    </w:p>
    <w:p w14:paraId="49D21FB0" w14:textId="77777777" w:rsidR="002E3716" w:rsidRPr="00876E94" w:rsidRDefault="002E3716" w:rsidP="00914440">
      <w:pPr>
        <w:pStyle w:val="a8"/>
        <w:numPr>
          <w:ilvl w:val="0"/>
          <w:numId w:val="21"/>
        </w:numPr>
        <w:ind w:firstLineChars="0"/>
        <w:outlineLvl w:val="1"/>
        <w:rPr>
          <w:b/>
        </w:rPr>
      </w:pPr>
      <w:r w:rsidRPr="00876E94">
        <w:rPr>
          <w:rFonts w:hint="eastAsia"/>
          <w:b/>
        </w:rPr>
        <w:t>东京公路充电系统</w:t>
      </w:r>
      <w:r w:rsidRPr="00876E94">
        <w:rPr>
          <w:b/>
        </w:rPr>
        <w:t>行驶30米可获350米续航</w:t>
      </w:r>
    </w:p>
    <w:p w14:paraId="1D1682EC" w14:textId="77777777" w:rsidR="002E3716" w:rsidRDefault="002E3716" w:rsidP="00914440">
      <w:r>
        <w:rPr>
          <w:rFonts w:hint="eastAsia"/>
        </w:rPr>
        <w:t>东京大学团队研发的充电系统着眼于公路，在公路上构建磁场，搭载线圈的汽车经过磁场时会诱发电磁感应，由此便可产生电流。</w:t>
      </w:r>
    </w:p>
    <w:p w14:paraId="03A9655D" w14:textId="77777777" w:rsidR="002E3716" w:rsidRDefault="002E3716" w:rsidP="00914440">
      <w:r>
        <w:rPr>
          <w:rFonts w:hint="eastAsia"/>
        </w:rPr>
        <w:t>根据目前的研究，汽车在这种磁场道路上行驶</w:t>
      </w:r>
      <w:r>
        <w:t>30米即可获得350米的续航电力。研究团队计划于2023年在千叶县的公路上启动测试，并争取在本世纪30年代中期投入实际应用。</w:t>
      </w:r>
    </w:p>
    <w:p w14:paraId="14A25B28" w14:textId="77777777" w:rsidR="002E3716" w:rsidRPr="00876E94" w:rsidRDefault="002E3716" w:rsidP="00914440">
      <w:pPr>
        <w:rPr>
          <w:rFonts w:cs="宋体"/>
          <w:b/>
          <w:bCs/>
          <w:i/>
          <w:iCs/>
        </w:rPr>
      </w:pPr>
      <w:r w:rsidRPr="006E0BB8">
        <w:rPr>
          <w:rFonts w:cs="宋体" w:hint="eastAsia"/>
          <w:b/>
          <w:bCs/>
          <w:i/>
          <w:iCs/>
        </w:rPr>
        <w:t>分析：。</w:t>
      </w:r>
    </w:p>
    <w:p w14:paraId="338FD41D" w14:textId="77777777" w:rsidR="002E3716" w:rsidRPr="00743556" w:rsidRDefault="002E3716" w:rsidP="00914440">
      <w:pPr>
        <w:pStyle w:val="a8"/>
        <w:numPr>
          <w:ilvl w:val="0"/>
          <w:numId w:val="21"/>
        </w:numPr>
        <w:ind w:firstLineChars="0"/>
        <w:outlineLvl w:val="1"/>
        <w:rPr>
          <w:b/>
        </w:rPr>
      </w:pPr>
      <w:r w:rsidRPr="00743556">
        <w:rPr>
          <w:rFonts w:hint="eastAsia"/>
          <w:b/>
        </w:rPr>
        <w:t>曼恩携手索诺汽车研究电动商用车的太阳能技术</w:t>
      </w:r>
    </w:p>
    <w:p w14:paraId="2FC93A6C" w14:textId="77777777" w:rsidR="002E3716" w:rsidRDefault="002E3716" w:rsidP="00914440">
      <w:r>
        <w:t>2021年6月22日，曼恩商用车已经与德国新能源品牌SonoMotors索诺汽车公司达成了战略合作意向，双方将共同研究SonoSolar太阳能技术整合应用于曼恩eTGE纯电动商用车上的技术与经济双重可行性。</w:t>
      </w:r>
    </w:p>
    <w:p w14:paraId="55D30B90" w14:textId="77777777" w:rsidR="002E3716" w:rsidRDefault="002E3716" w:rsidP="00914440">
      <w:r>
        <w:rPr>
          <w:rFonts w:hint="eastAsia"/>
        </w:rPr>
        <w:t>本次双方研究的电动商用车的车载太阳能技术，并非要直接取代目前的电池或燃料电池等储能系统，而是旨在进一步助力现阶段商用车储能系统更好的实现降低能源需求、减少充电次数，从而延长电动商用车的续航里程。</w:t>
      </w:r>
    </w:p>
    <w:p w14:paraId="1C6F7459" w14:textId="77777777" w:rsidR="002E3716" w:rsidRPr="00957E59" w:rsidRDefault="002E3716" w:rsidP="00914440">
      <w:pPr>
        <w:rPr>
          <w:rFonts w:cs="宋体"/>
          <w:b/>
          <w:bCs/>
          <w:i/>
          <w:iCs/>
        </w:rPr>
      </w:pPr>
      <w:r w:rsidRPr="006E0BB8">
        <w:rPr>
          <w:rFonts w:cs="宋体" w:hint="eastAsia"/>
          <w:b/>
          <w:bCs/>
          <w:i/>
          <w:iCs/>
        </w:rPr>
        <w:t>分析：。</w:t>
      </w:r>
    </w:p>
    <w:p w14:paraId="7ACF366C" w14:textId="77777777" w:rsidR="002E3716" w:rsidRPr="00B744A7" w:rsidRDefault="002E3716" w:rsidP="00914440">
      <w:pPr>
        <w:pStyle w:val="a8"/>
        <w:numPr>
          <w:ilvl w:val="0"/>
          <w:numId w:val="21"/>
        </w:numPr>
        <w:ind w:firstLineChars="0"/>
        <w:outlineLvl w:val="1"/>
        <w:rPr>
          <w:b/>
        </w:rPr>
      </w:pPr>
      <w:r w:rsidRPr="00B744A7">
        <w:rPr>
          <w:rFonts w:hint="eastAsia"/>
          <w:b/>
        </w:rPr>
        <w:t>美国或将减税</w:t>
      </w:r>
      <w:r w:rsidRPr="00B744A7">
        <w:rPr>
          <w:b/>
        </w:rPr>
        <w:t>25%以吸引芯片制造回流</w:t>
      </w:r>
    </w:p>
    <w:p w14:paraId="7A67C0FF" w14:textId="77777777" w:rsidR="002E3716" w:rsidRDefault="002E3716" w:rsidP="00914440">
      <w:r>
        <w:rPr>
          <w:rFonts w:hint="eastAsia"/>
        </w:rPr>
        <w:t>为了提高美国本土的芯片产能建设，</w:t>
      </w:r>
      <w:r>
        <w:t>6月17日，由美国两党多名参议员组成的政客团体提议美国国会，给芯片制造业投资25%的税收减免。</w:t>
      </w:r>
    </w:p>
    <w:p w14:paraId="7963E8E6" w14:textId="77777777" w:rsidR="002E3716" w:rsidRDefault="002E3716" w:rsidP="00914440">
      <w:r>
        <w:rPr>
          <w:rFonts w:hint="eastAsia"/>
        </w:rPr>
        <w:t>上周，美国参议院批准了</w:t>
      </w:r>
      <w:r>
        <w:t>520亿美元，用于芯片和电信设备的生产和研究。其中包括20亿美元专用于汽车芯片，因为汽车芯片出现了大量短缺，导致美国汽车企业大幅减产，必须立刻采取行动。</w:t>
      </w:r>
    </w:p>
    <w:p w14:paraId="08EABFE9" w14:textId="77777777" w:rsidR="002E3716" w:rsidRPr="00B744A7" w:rsidRDefault="002E3716" w:rsidP="00914440">
      <w:pPr>
        <w:rPr>
          <w:rFonts w:cs="宋体"/>
          <w:b/>
          <w:bCs/>
          <w:i/>
          <w:iCs/>
        </w:rPr>
      </w:pPr>
      <w:r w:rsidRPr="006E0BB8">
        <w:rPr>
          <w:rFonts w:cs="宋体" w:hint="eastAsia"/>
          <w:b/>
          <w:bCs/>
          <w:i/>
          <w:iCs/>
        </w:rPr>
        <w:t>分析：。</w:t>
      </w:r>
    </w:p>
    <w:p w14:paraId="30D106F7" w14:textId="77777777" w:rsidR="002E3716" w:rsidRPr="003560F8" w:rsidRDefault="002E3716" w:rsidP="00914440">
      <w:pPr>
        <w:pStyle w:val="a8"/>
        <w:numPr>
          <w:ilvl w:val="0"/>
          <w:numId w:val="21"/>
        </w:numPr>
        <w:ind w:firstLineChars="0"/>
        <w:outlineLvl w:val="1"/>
        <w:rPr>
          <w:b/>
        </w:rPr>
      </w:pPr>
      <w:r w:rsidRPr="003560F8">
        <w:rPr>
          <w:rFonts w:hint="eastAsia"/>
          <w:b/>
        </w:rPr>
        <w:t>美国提出</w:t>
      </w:r>
      <w:r w:rsidRPr="003560F8">
        <w:rPr>
          <w:b/>
        </w:rPr>
        <w:t>1.2万亿美元基础设施协议</w:t>
      </w:r>
    </w:p>
    <w:p w14:paraId="5E0509D8" w14:textId="77777777" w:rsidR="002E3716" w:rsidRDefault="002E3716" w:rsidP="00914440">
      <w:r>
        <w:rPr>
          <w:rFonts w:hint="eastAsia"/>
        </w:rPr>
        <w:t>美国总统拜登承诺支持一项跨党派基础设施框架，该框架将支持他在全国建设</w:t>
      </w:r>
      <w:r>
        <w:t>50万个电动汽车充电站的目标，同时削减为此划拨的资金。</w:t>
      </w:r>
    </w:p>
    <w:p w14:paraId="025794B1" w14:textId="77777777" w:rsidR="002E3716" w:rsidRDefault="002E3716" w:rsidP="00914440">
      <w:r>
        <w:t>6月24日，白宫公布了这项价值1.2万亿美元的协议。白宫发布的一份关于这项协议的简报显示，该协议将提供75亿美元，用于在美国高速公路沿线、农村和弱势社区建设一个全国性的电动汽车充电网络。它还将提供75亿美元，为数千辆校车和公交提供电力，并促进国内零排放车辆和零部件的制造。</w:t>
      </w:r>
    </w:p>
    <w:p w14:paraId="74EFE905" w14:textId="77777777" w:rsidR="002E3716" w:rsidRPr="003560F8" w:rsidRDefault="002E3716" w:rsidP="00914440">
      <w:pPr>
        <w:rPr>
          <w:rFonts w:cs="宋体"/>
          <w:b/>
          <w:bCs/>
          <w:i/>
          <w:iCs/>
        </w:rPr>
      </w:pPr>
      <w:r w:rsidRPr="006E0BB8">
        <w:rPr>
          <w:rFonts w:cs="宋体" w:hint="eastAsia"/>
          <w:b/>
          <w:bCs/>
          <w:i/>
          <w:iCs/>
        </w:rPr>
        <w:t>分析：。</w:t>
      </w:r>
    </w:p>
    <w:p w14:paraId="32CB50CB" w14:textId="77777777" w:rsidR="002E3716" w:rsidRPr="003560F8" w:rsidRDefault="002E3716" w:rsidP="00914440">
      <w:pPr>
        <w:pStyle w:val="a8"/>
        <w:numPr>
          <w:ilvl w:val="0"/>
          <w:numId w:val="21"/>
        </w:numPr>
        <w:ind w:firstLineChars="0"/>
        <w:outlineLvl w:val="1"/>
        <w:rPr>
          <w:b/>
        </w:rPr>
      </w:pPr>
      <w:r w:rsidRPr="003560F8">
        <w:rPr>
          <w:rFonts w:hint="eastAsia"/>
          <w:b/>
        </w:rPr>
        <w:t>欧洲规划</w:t>
      </w:r>
      <w:r w:rsidRPr="003560F8">
        <w:rPr>
          <w:b/>
        </w:rPr>
        <w:t>38座超级电池厂产能1000GWh</w:t>
      </w:r>
    </w:p>
    <w:p w14:paraId="3CE73C69" w14:textId="77777777" w:rsidR="002E3716" w:rsidRDefault="002E3716" w:rsidP="00914440">
      <w:r>
        <w:rPr>
          <w:rFonts w:hint="eastAsia"/>
        </w:rPr>
        <w:t>欧盟非政府组织运输与环境联合会（</w:t>
      </w:r>
      <w:r>
        <w:t>T&amp;E）6月份发布的一份报告显示，欧洲现有项目中已建设或正在建设的超级工厂总数达到38个，预计总年产量为1000GWh，相当于生产1670万辆纯电动汽车，成本超过400亿欧元。</w:t>
      </w:r>
    </w:p>
    <w:p w14:paraId="0E05589F" w14:textId="77777777" w:rsidR="002E3716" w:rsidRPr="003560F8" w:rsidRDefault="002E3716" w:rsidP="00914440">
      <w:pPr>
        <w:rPr>
          <w:rFonts w:cs="宋体"/>
          <w:b/>
          <w:bCs/>
          <w:i/>
          <w:iCs/>
        </w:rPr>
      </w:pPr>
      <w:r w:rsidRPr="006E0BB8">
        <w:rPr>
          <w:rFonts w:cs="宋体" w:hint="eastAsia"/>
          <w:b/>
          <w:bCs/>
          <w:i/>
          <w:iCs/>
        </w:rPr>
        <w:t>分析：。</w:t>
      </w:r>
    </w:p>
    <w:p w14:paraId="7E258262" w14:textId="77777777" w:rsidR="002E3716" w:rsidRPr="003560F8" w:rsidRDefault="002E3716" w:rsidP="00914440">
      <w:pPr>
        <w:pStyle w:val="a8"/>
        <w:numPr>
          <w:ilvl w:val="0"/>
          <w:numId w:val="21"/>
        </w:numPr>
        <w:ind w:firstLineChars="0"/>
        <w:outlineLvl w:val="1"/>
        <w:rPr>
          <w:b/>
        </w:rPr>
      </w:pPr>
      <w:r w:rsidRPr="003560F8">
        <w:rPr>
          <w:rFonts w:hint="eastAsia"/>
          <w:b/>
        </w:rPr>
        <w:t>斯柯达计划</w:t>
      </w:r>
      <w:r w:rsidRPr="003560F8">
        <w:rPr>
          <w:b/>
        </w:rPr>
        <w:t>2030年一半欧洲销量来自电动汽车</w:t>
      </w:r>
    </w:p>
    <w:p w14:paraId="0007D368" w14:textId="77777777" w:rsidR="002E3716" w:rsidRDefault="002E3716" w:rsidP="00914440">
      <w:r>
        <w:rPr>
          <w:rFonts w:hint="eastAsia"/>
        </w:rPr>
        <w:t>大众集团旗下斯柯达品牌在</w:t>
      </w:r>
      <w:r>
        <w:t>6月24日表示，该公司希望到2030年时，让电动汽车的销量至少占其欧洲总销量的一半。这家捷克汽车制造商表示，在未来10年中，他们将逐渐从内燃机汽车过渡到电动汽车。</w:t>
      </w:r>
    </w:p>
    <w:p w14:paraId="4745DC2D" w14:textId="77777777" w:rsidR="002E3716" w:rsidRDefault="002E3716" w:rsidP="00914440">
      <w:r>
        <w:rPr>
          <w:rFonts w:hint="eastAsia"/>
        </w:rPr>
        <w:t>作为此战略的一部分，斯柯达将至少再发布</w:t>
      </w:r>
      <w:r>
        <w:t>3款纯电动汽车，使其电动车型的数量增加至5款。新车型的定位将在该公司EnyaqiV纯电动SUV之下。</w:t>
      </w:r>
    </w:p>
    <w:p w14:paraId="5E1C884F" w14:textId="77777777" w:rsidR="002E3716" w:rsidRPr="003560F8" w:rsidRDefault="002E3716" w:rsidP="00914440">
      <w:pPr>
        <w:rPr>
          <w:rFonts w:cs="宋体"/>
          <w:b/>
          <w:bCs/>
          <w:i/>
          <w:iCs/>
        </w:rPr>
      </w:pPr>
      <w:r w:rsidRPr="006E0BB8">
        <w:rPr>
          <w:rFonts w:cs="宋体" w:hint="eastAsia"/>
          <w:b/>
          <w:bCs/>
          <w:i/>
          <w:iCs/>
        </w:rPr>
        <w:t>分析：。</w:t>
      </w:r>
    </w:p>
    <w:p w14:paraId="07A61DA3" w14:textId="77777777" w:rsidR="002E3716" w:rsidRPr="00886B7F" w:rsidRDefault="002E3716" w:rsidP="00914440">
      <w:pPr>
        <w:pStyle w:val="a8"/>
        <w:numPr>
          <w:ilvl w:val="0"/>
          <w:numId w:val="21"/>
        </w:numPr>
        <w:ind w:firstLineChars="0"/>
        <w:outlineLvl w:val="1"/>
        <w:rPr>
          <w:b/>
        </w:rPr>
      </w:pPr>
      <w:r w:rsidRPr="00886B7F">
        <w:rPr>
          <w:rFonts w:hint="eastAsia"/>
          <w:b/>
        </w:rPr>
        <w:t>特斯拉</w:t>
      </w:r>
      <w:r w:rsidRPr="00886B7F">
        <w:rPr>
          <w:b/>
        </w:rPr>
        <w:t>ModelY美国官网涨价500美元</w:t>
      </w:r>
    </w:p>
    <w:p w14:paraId="0ACBAF04" w14:textId="77777777" w:rsidR="002E3716" w:rsidRDefault="002E3716" w:rsidP="00914440">
      <w:r w:rsidRPr="00BD1039">
        <w:t>6月25日，通过Tesla美国官网获悉，ModelY长续航版起售价由5.249万美元调整为5.299万美元，涨价500美元。这是ModelY今年第6次涨价。</w:t>
      </w:r>
    </w:p>
    <w:p w14:paraId="4305D3CA" w14:textId="77777777" w:rsidR="002E3716" w:rsidRPr="00957E59" w:rsidRDefault="002E3716" w:rsidP="00914440">
      <w:pPr>
        <w:rPr>
          <w:rFonts w:cs="宋体"/>
          <w:b/>
          <w:bCs/>
          <w:i/>
          <w:iCs/>
        </w:rPr>
      </w:pPr>
      <w:r w:rsidRPr="006E0BB8">
        <w:rPr>
          <w:rFonts w:cs="宋体" w:hint="eastAsia"/>
          <w:b/>
          <w:bCs/>
          <w:i/>
          <w:iCs/>
        </w:rPr>
        <w:t>分析：。</w:t>
      </w:r>
    </w:p>
    <w:p w14:paraId="519AD415" w14:textId="77777777" w:rsidR="002E3716" w:rsidRPr="001433D4" w:rsidRDefault="002E3716" w:rsidP="00914440">
      <w:pPr>
        <w:pStyle w:val="a8"/>
        <w:numPr>
          <w:ilvl w:val="0"/>
          <w:numId w:val="21"/>
        </w:numPr>
        <w:ind w:firstLineChars="0"/>
        <w:outlineLvl w:val="1"/>
        <w:rPr>
          <w:b/>
        </w:rPr>
      </w:pPr>
      <w:r w:rsidRPr="001433D4">
        <w:rPr>
          <w:rFonts w:hint="eastAsia"/>
          <w:b/>
        </w:rPr>
        <w:t>特斯拉计划向其他汽车制造商开放超级充电网络</w:t>
      </w:r>
    </w:p>
    <w:p w14:paraId="3BC71274" w14:textId="77777777" w:rsidR="002E3716" w:rsidRDefault="002E3716" w:rsidP="00914440">
      <w:r>
        <w:t>特斯拉一直在与挪威韦斯特兰（Vestland）郡的管理机构联系，以获取部署充电站的激励措施。然而，当地政府只对向所有汽车制造商开放的充电站提供激励措施。在媒体获得的会议纪要中，有官员证实，特斯拉计划在2022年9月之前向其他汽车制造商开放超级充电网络，因此当地批准特斯拉获得激励措施。</w:t>
      </w:r>
    </w:p>
    <w:p w14:paraId="5F1BCA66" w14:textId="77777777" w:rsidR="002E3716" w:rsidRPr="00957E59" w:rsidRDefault="002E3716" w:rsidP="00914440">
      <w:pPr>
        <w:rPr>
          <w:rFonts w:cs="宋体"/>
          <w:b/>
          <w:bCs/>
          <w:i/>
          <w:iCs/>
        </w:rPr>
      </w:pPr>
      <w:r w:rsidRPr="006E0BB8">
        <w:rPr>
          <w:rFonts w:cs="宋体" w:hint="eastAsia"/>
          <w:b/>
          <w:bCs/>
          <w:i/>
          <w:iCs/>
        </w:rPr>
        <w:t>分析：。</w:t>
      </w:r>
    </w:p>
    <w:p w14:paraId="4830983A" w14:textId="77777777" w:rsidR="002E3716" w:rsidRPr="001E19C2" w:rsidRDefault="002E3716" w:rsidP="00914440">
      <w:pPr>
        <w:pStyle w:val="a8"/>
        <w:numPr>
          <w:ilvl w:val="0"/>
          <w:numId w:val="21"/>
        </w:numPr>
        <w:ind w:firstLineChars="0"/>
        <w:outlineLvl w:val="1"/>
        <w:rPr>
          <w:b/>
        </w:rPr>
      </w:pPr>
      <w:r w:rsidRPr="001E19C2">
        <w:rPr>
          <w:rFonts w:hint="eastAsia"/>
          <w:b/>
        </w:rPr>
        <w:t>外媒：台积电将优先考虑汽车芯片和苹果第三季度订单</w:t>
      </w:r>
    </w:p>
    <w:p w14:paraId="0B4CB580" w14:textId="77777777" w:rsidR="002E3716" w:rsidRDefault="002E3716" w:rsidP="00914440">
      <w:r w:rsidRPr="004235A9">
        <w:t>台积电将优先供应汽车芯片和苹果2021年第三季度的订单，其次是个人电脑、服务器和网络设备的芯片订单。</w:t>
      </w:r>
    </w:p>
    <w:p w14:paraId="18DBAD78" w14:textId="77777777" w:rsidR="002E3716" w:rsidRPr="00957E59" w:rsidRDefault="002E3716" w:rsidP="00914440">
      <w:pPr>
        <w:rPr>
          <w:rFonts w:cs="宋体"/>
          <w:b/>
          <w:bCs/>
          <w:i/>
          <w:iCs/>
        </w:rPr>
      </w:pPr>
      <w:r w:rsidRPr="006E0BB8">
        <w:rPr>
          <w:rFonts w:cs="宋体" w:hint="eastAsia"/>
          <w:b/>
          <w:bCs/>
          <w:i/>
          <w:iCs/>
        </w:rPr>
        <w:t>分析：。</w:t>
      </w:r>
    </w:p>
    <w:p w14:paraId="3E9A9063" w14:textId="77777777" w:rsidR="002E3716" w:rsidRPr="00392DA4" w:rsidRDefault="002E3716" w:rsidP="00914440">
      <w:pPr>
        <w:pStyle w:val="a8"/>
        <w:numPr>
          <w:ilvl w:val="0"/>
          <w:numId w:val="21"/>
        </w:numPr>
        <w:ind w:firstLineChars="0"/>
        <w:outlineLvl w:val="1"/>
        <w:rPr>
          <w:b/>
        </w:rPr>
      </w:pPr>
      <w:r w:rsidRPr="00392DA4">
        <w:rPr>
          <w:rFonts w:hint="eastAsia"/>
          <w:b/>
        </w:rPr>
        <w:t>沃尔沃成立电池子公司</w:t>
      </w:r>
      <w:r w:rsidRPr="00392DA4">
        <w:rPr>
          <w:b/>
        </w:rPr>
        <w:t>XC60将迎来电动化</w:t>
      </w:r>
    </w:p>
    <w:p w14:paraId="4AA1FDDB" w14:textId="77777777" w:rsidR="002E3716" w:rsidRDefault="002E3716" w:rsidP="00914440">
      <w:r>
        <w:rPr>
          <w:rFonts w:hint="eastAsia"/>
        </w:rPr>
        <w:t>沃尔沃汽车集团宣布将与瑞典领先的电池公司</w:t>
      </w:r>
      <w:r>
        <w:t>Northvolt成立合资企业，开发和生产更具可持续性的电池，专为下一代纯电动沃尔沃和Polestar汽车提供动力。官方表示，沃尔沃XC60将会迎来电动化。</w:t>
      </w:r>
    </w:p>
    <w:p w14:paraId="439496DF" w14:textId="77777777" w:rsidR="002E3716" w:rsidRDefault="002E3716" w:rsidP="00914440">
      <w:r>
        <w:rPr>
          <w:rFonts w:hint="eastAsia"/>
        </w:rPr>
        <w:t>作为合资企业的第一步，沃尔沃汽车集团和</w:t>
      </w:r>
      <w:r>
        <w:t>Northvolt将在瑞典建立一个研发中心，该中心将于2022年开始运营。该中心旨在利用两家公司的电池开发能力，打造下一代最先进的电池和车辆集成技术，专为沃尔沃和Polestar汽车而开发。计划中的合资企业还将在欧洲建立一个新的工厂，年产能高达50GWh。据悉，生产计划于2026年开始。</w:t>
      </w:r>
    </w:p>
    <w:p w14:paraId="366CBA76" w14:textId="77777777" w:rsidR="002E3716" w:rsidRPr="00957E59" w:rsidRDefault="002E3716" w:rsidP="00914440">
      <w:pPr>
        <w:rPr>
          <w:rFonts w:cs="宋体"/>
          <w:b/>
          <w:bCs/>
          <w:i/>
          <w:iCs/>
        </w:rPr>
      </w:pPr>
      <w:r w:rsidRPr="006E0BB8">
        <w:rPr>
          <w:rFonts w:cs="宋体" w:hint="eastAsia"/>
          <w:b/>
          <w:bCs/>
          <w:i/>
          <w:iCs/>
        </w:rPr>
        <w:t>分析：。</w:t>
      </w:r>
    </w:p>
    <w:p w14:paraId="043A055B" w14:textId="77777777" w:rsidR="002E3716" w:rsidRDefault="002E3716" w:rsidP="00914440">
      <w:pPr>
        <w:pStyle w:val="a8"/>
        <w:numPr>
          <w:ilvl w:val="0"/>
          <w:numId w:val="21"/>
        </w:numPr>
        <w:ind w:firstLineChars="0"/>
        <w:outlineLvl w:val="1"/>
      </w:pPr>
      <w:r w:rsidRPr="00886B7F">
        <w:rPr>
          <w:rFonts w:hint="eastAsia"/>
          <w:b/>
        </w:rPr>
        <w:t>亚马逊拟投资智加科技</w:t>
      </w:r>
      <w:r w:rsidRPr="00886B7F">
        <w:rPr>
          <w:b/>
        </w:rPr>
        <w:t>20%股权+买1万套自动驾驶系统</w:t>
      </w:r>
    </w:p>
    <w:p w14:paraId="40EC2849" w14:textId="77777777" w:rsidR="002E3716" w:rsidRDefault="002E3716" w:rsidP="00914440">
      <w:r>
        <w:t>6月21日，正在美国寻求通过SPAC方式上市的智加科技，向美国证券交易委员会（SEC）提交了一份文件，根据这份文件显示，亚马逊向智加科技购买1000套（辆）重卡自动驾驶系统，并且签署了认股权证协议。</w:t>
      </w:r>
    </w:p>
    <w:p w14:paraId="3ED24326" w14:textId="77777777" w:rsidR="002E3716" w:rsidRDefault="002E3716" w:rsidP="00914440">
      <w:r>
        <w:rPr>
          <w:rFonts w:hint="eastAsia"/>
        </w:rPr>
        <w:t>根据认股权证协议，当亚马逊购买了</w:t>
      </w:r>
      <w:r>
        <w:t>1万套（辆）智加科技重卡自动驾驶系统后，有权通过额外投资的方式获得智加科技在上市前20%的股权。按照每套（辆）重卡自动驾驶系统售价为1.5万美元计，要触发该投资条件，将意味着亚马逊为智加科技贡献1.5亿美元营收。此前的2021年2月，智加科技已开始向亚马逊交付重卡自动驾驶系统。</w:t>
      </w:r>
    </w:p>
    <w:p w14:paraId="2366DF59" w14:textId="77777777" w:rsidR="002E3716" w:rsidRPr="00957E59" w:rsidRDefault="002E3716" w:rsidP="00914440">
      <w:pPr>
        <w:rPr>
          <w:rFonts w:cs="宋体"/>
          <w:b/>
          <w:bCs/>
          <w:i/>
          <w:iCs/>
        </w:rPr>
      </w:pPr>
      <w:r w:rsidRPr="006E0BB8">
        <w:rPr>
          <w:rFonts w:cs="宋体" w:hint="eastAsia"/>
          <w:b/>
          <w:bCs/>
          <w:i/>
          <w:iCs/>
        </w:rPr>
        <w:t>分析：。</w:t>
      </w:r>
    </w:p>
    <w:p w14:paraId="3C932B4E" w14:textId="77777777" w:rsidR="002E3716" w:rsidRPr="00886B7F" w:rsidRDefault="002E3716" w:rsidP="00914440">
      <w:pPr>
        <w:pStyle w:val="a8"/>
        <w:numPr>
          <w:ilvl w:val="0"/>
          <w:numId w:val="21"/>
        </w:numPr>
        <w:ind w:firstLineChars="0"/>
        <w:outlineLvl w:val="1"/>
        <w:rPr>
          <w:b/>
        </w:rPr>
      </w:pPr>
      <w:r w:rsidRPr="00886B7F">
        <w:rPr>
          <w:rFonts w:hint="eastAsia"/>
          <w:b/>
        </w:rPr>
        <w:t>印尼投资部长：</w:t>
      </w:r>
      <w:r w:rsidRPr="00886B7F">
        <w:rPr>
          <w:b/>
        </w:rPr>
        <w:t>LG化学印尼电池厂七月开工</w:t>
      </w:r>
    </w:p>
    <w:p w14:paraId="74F11E3C" w14:textId="77777777" w:rsidR="002E3716" w:rsidRPr="00BD1039" w:rsidRDefault="002E3716" w:rsidP="00914440">
      <w:r w:rsidRPr="00BD1039">
        <w:t>6月19日，印尼投资部长巴赫利接受采访时表示，LG化学确认在印尼投资的动力电池厂将于今年七月份开工，电池厂的产能为10GWh，总投资为98亿美元，这将成为印尼首个电池厂。</w:t>
      </w:r>
    </w:p>
    <w:p w14:paraId="6121C7E6" w14:textId="77777777" w:rsidR="002E3716" w:rsidRPr="00957E59" w:rsidRDefault="002E3716" w:rsidP="00914440">
      <w:pPr>
        <w:rPr>
          <w:rFonts w:cs="宋体"/>
          <w:b/>
          <w:bCs/>
          <w:i/>
          <w:iCs/>
        </w:rPr>
      </w:pPr>
      <w:r w:rsidRPr="006E0BB8">
        <w:rPr>
          <w:rFonts w:cs="宋体" w:hint="eastAsia"/>
          <w:b/>
          <w:bCs/>
          <w:i/>
          <w:iCs/>
        </w:rPr>
        <w:t>分析：。</w:t>
      </w:r>
    </w:p>
    <w:sectPr w:rsidR="002E3716" w:rsidRPr="00957E59" w:rsidSect="00CF0CB3">
      <w:headerReference w:type="default" r:id="rId17"/>
      <w:pgSz w:w="11906" w:h="16838"/>
      <w:pgMar w:top="1440" w:right="1800" w:bottom="1440" w:left="1800" w:header="56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5DA13" w14:textId="77777777" w:rsidR="00720023" w:rsidRDefault="00720023" w:rsidP="0030307C">
      <w:r>
        <w:separator/>
      </w:r>
    </w:p>
  </w:endnote>
  <w:endnote w:type="continuationSeparator" w:id="0">
    <w:p w14:paraId="035D8011" w14:textId="77777777" w:rsidR="00720023" w:rsidRDefault="00720023" w:rsidP="00303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44624" w14:textId="77777777" w:rsidR="00720023" w:rsidRDefault="00720023" w:rsidP="0030307C">
      <w:r>
        <w:separator/>
      </w:r>
    </w:p>
  </w:footnote>
  <w:footnote w:type="continuationSeparator" w:id="0">
    <w:p w14:paraId="4B089688" w14:textId="77777777" w:rsidR="00720023" w:rsidRDefault="00720023" w:rsidP="00303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73926" w14:textId="008B5F5C" w:rsidR="00CF0CB3" w:rsidRDefault="00CF0CB3" w:rsidP="00CF0CB3">
    <w:pPr>
      <w:pStyle w:val="a3"/>
      <w:jc w:val="left"/>
    </w:pPr>
    <w:r>
      <w:rPr>
        <w:noProof/>
      </w:rPr>
      <w:drawing>
        <wp:inline distT="0" distB="0" distL="0" distR="0" wp14:anchorId="7DD60FC7" wp14:editId="182850D0">
          <wp:extent cx="895350" cy="292100"/>
          <wp:effectExtent l="0" t="0" r="0" b="0"/>
          <wp:docPr id="4" name="图片 4" descr="乘联会组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乘联会组合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292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CC24E73"/>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3"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4"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2"/>
  </w:num>
  <w:num w:numId="3">
    <w:abstractNumId w:val="13"/>
  </w:num>
  <w:num w:numId="4">
    <w:abstractNumId w:val="15"/>
  </w:num>
  <w:num w:numId="5">
    <w:abstractNumId w:val="14"/>
  </w:num>
  <w:num w:numId="6">
    <w:abstractNumId w:val="10"/>
  </w:num>
  <w:num w:numId="7">
    <w:abstractNumId w:val="6"/>
  </w:num>
  <w:num w:numId="8">
    <w:abstractNumId w:val="5"/>
  </w:num>
  <w:num w:numId="9">
    <w:abstractNumId w:val="11"/>
  </w:num>
  <w:num w:numId="10">
    <w:abstractNumId w:val="7"/>
  </w:num>
  <w:num w:numId="11">
    <w:abstractNumId w:val="1"/>
  </w:num>
  <w:num w:numId="12">
    <w:abstractNumId w:val="9"/>
  </w:num>
  <w:num w:numId="13">
    <w:abstractNumId w:val="2"/>
  </w:num>
  <w:num w:numId="14">
    <w:abstractNumId w:val="20"/>
  </w:num>
  <w:num w:numId="15">
    <w:abstractNumId w:val="19"/>
  </w:num>
  <w:num w:numId="16">
    <w:abstractNumId w:val="16"/>
  </w:num>
  <w:num w:numId="17">
    <w:abstractNumId w:val="18"/>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0"/>
  </w:num>
  <w:num w:numId="21">
    <w:abstractNumId w:val="3"/>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374"/>
    <w:rsid w:val="000441D7"/>
    <w:rsid w:val="000A5C1C"/>
    <w:rsid w:val="000D49F1"/>
    <w:rsid w:val="00142FE6"/>
    <w:rsid w:val="00147C7E"/>
    <w:rsid w:val="00162637"/>
    <w:rsid w:val="00256CB4"/>
    <w:rsid w:val="00292042"/>
    <w:rsid w:val="002B5B11"/>
    <w:rsid w:val="002D5053"/>
    <w:rsid w:val="002E3716"/>
    <w:rsid w:val="0030307C"/>
    <w:rsid w:val="00471932"/>
    <w:rsid w:val="00487FF4"/>
    <w:rsid w:val="004B5223"/>
    <w:rsid w:val="004E2655"/>
    <w:rsid w:val="004E7B20"/>
    <w:rsid w:val="00532150"/>
    <w:rsid w:val="00582CDA"/>
    <w:rsid w:val="005955C7"/>
    <w:rsid w:val="005E6842"/>
    <w:rsid w:val="00626D03"/>
    <w:rsid w:val="0071201F"/>
    <w:rsid w:val="00720023"/>
    <w:rsid w:val="00727D87"/>
    <w:rsid w:val="00775EEB"/>
    <w:rsid w:val="007D1A7C"/>
    <w:rsid w:val="00845653"/>
    <w:rsid w:val="008A2AD1"/>
    <w:rsid w:val="008E2342"/>
    <w:rsid w:val="00914440"/>
    <w:rsid w:val="00920247"/>
    <w:rsid w:val="00926419"/>
    <w:rsid w:val="009600BC"/>
    <w:rsid w:val="00A40BC0"/>
    <w:rsid w:val="00A57D2F"/>
    <w:rsid w:val="00AB5CF8"/>
    <w:rsid w:val="00AD0761"/>
    <w:rsid w:val="00AF0EA1"/>
    <w:rsid w:val="00B407DA"/>
    <w:rsid w:val="00BC08C8"/>
    <w:rsid w:val="00BF66C9"/>
    <w:rsid w:val="00CE4C5C"/>
    <w:rsid w:val="00CF0CB3"/>
    <w:rsid w:val="00D12D3C"/>
    <w:rsid w:val="00D2109C"/>
    <w:rsid w:val="00DF54D4"/>
    <w:rsid w:val="00DF781C"/>
    <w:rsid w:val="00E22A23"/>
    <w:rsid w:val="00E51374"/>
    <w:rsid w:val="00EA2408"/>
    <w:rsid w:val="00EA5289"/>
    <w:rsid w:val="00FE69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BD195"/>
  <w15:chartTrackingRefBased/>
  <w15:docId w15:val="{1231DEFB-F904-41F8-BF5C-330C2D00B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307C"/>
    <w:pPr>
      <w:widowControl w:val="0"/>
      <w:jc w:val="both"/>
    </w:pPr>
    <w:rPr>
      <w:szCs w:val="24"/>
    </w:rPr>
  </w:style>
  <w:style w:type="paragraph" w:styleId="2">
    <w:name w:val="heading 2"/>
    <w:basedOn w:val="a"/>
    <w:next w:val="a"/>
    <w:link w:val="20"/>
    <w:semiHidden/>
    <w:unhideWhenUsed/>
    <w:qFormat/>
    <w:rsid w:val="0030307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30307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30307C"/>
    <w:rPr>
      <w:sz w:val="18"/>
      <w:szCs w:val="18"/>
    </w:rPr>
  </w:style>
  <w:style w:type="paragraph" w:styleId="a5">
    <w:name w:val="footer"/>
    <w:basedOn w:val="a"/>
    <w:link w:val="a6"/>
    <w:unhideWhenUsed/>
    <w:rsid w:val="0030307C"/>
    <w:pPr>
      <w:tabs>
        <w:tab w:val="center" w:pos="4153"/>
        <w:tab w:val="right" w:pos="8306"/>
      </w:tabs>
      <w:snapToGrid w:val="0"/>
      <w:jc w:val="left"/>
    </w:pPr>
    <w:rPr>
      <w:sz w:val="18"/>
      <w:szCs w:val="18"/>
    </w:rPr>
  </w:style>
  <w:style w:type="character" w:customStyle="1" w:styleId="a6">
    <w:name w:val="页脚 字符"/>
    <w:basedOn w:val="a0"/>
    <w:link w:val="a5"/>
    <w:rsid w:val="0030307C"/>
    <w:rPr>
      <w:sz w:val="18"/>
      <w:szCs w:val="18"/>
    </w:rPr>
  </w:style>
  <w:style w:type="character" w:customStyle="1" w:styleId="20">
    <w:name w:val="标题 2 字符"/>
    <w:basedOn w:val="a0"/>
    <w:link w:val="2"/>
    <w:semiHidden/>
    <w:rsid w:val="0030307C"/>
    <w:rPr>
      <w:rFonts w:asciiTheme="majorHAnsi" w:eastAsiaTheme="majorEastAsia" w:hAnsiTheme="majorHAnsi" w:cstheme="majorBidi"/>
      <w:b/>
      <w:bCs/>
      <w:sz w:val="32"/>
      <w:szCs w:val="32"/>
    </w:rPr>
  </w:style>
  <w:style w:type="character" w:styleId="a7">
    <w:name w:val="Strong"/>
    <w:basedOn w:val="a0"/>
    <w:qFormat/>
    <w:rsid w:val="0030307C"/>
    <w:rPr>
      <w:b/>
    </w:rPr>
  </w:style>
  <w:style w:type="paragraph" w:customStyle="1" w:styleId="1">
    <w:name w:val="列出段落1"/>
    <w:basedOn w:val="a"/>
    <w:uiPriority w:val="99"/>
    <w:qFormat/>
    <w:rsid w:val="0030307C"/>
    <w:pPr>
      <w:ind w:firstLineChars="200" w:firstLine="420"/>
    </w:pPr>
  </w:style>
  <w:style w:type="paragraph" w:styleId="a8">
    <w:name w:val="List Paragraph"/>
    <w:basedOn w:val="a"/>
    <w:uiPriority w:val="34"/>
    <w:qFormat/>
    <w:rsid w:val="0030307C"/>
    <w:pPr>
      <w:ind w:firstLineChars="200" w:firstLine="420"/>
    </w:pPr>
  </w:style>
  <w:style w:type="paragraph" w:styleId="a9">
    <w:name w:val="Balloon Text"/>
    <w:basedOn w:val="a"/>
    <w:link w:val="aa"/>
    <w:rsid w:val="0030307C"/>
    <w:rPr>
      <w:sz w:val="18"/>
      <w:szCs w:val="18"/>
    </w:rPr>
  </w:style>
  <w:style w:type="character" w:customStyle="1" w:styleId="aa">
    <w:name w:val="批注框文本 字符"/>
    <w:basedOn w:val="a0"/>
    <w:link w:val="a9"/>
    <w:rsid w:val="0030307C"/>
    <w:rPr>
      <w:sz w:val="18"/>
      <w:szCs w:val="18"/>
    </w:rPr>
  </w:style>
  <w:style w:type="character" w:customStyle="1" w:styleId="apple-converted-space">
    <w:name w:val="apple-converted-space"/>
    <w:basedOn w:val="a0"/>
    <w:rsid w:val="0030307C"/>
  </w:style>
  <w:style w:type="character" w:styleId="ab">
    <w:name w:val="annotation reference"/>
    <w:basedOn w:val="a0"/>
    <w:uiPriority w:val="99"/>
    <w:semiHidden/>
    <w:unhideWhenUsed/>
    <w:rsid w:val="0030307C"/>
    <w:rPr>
      <w:sz w:val="21"/>
      <w:szCs w:val="21"/>
    </w:rPr>
  </w:style>
  <w:style w:type="paragraph" w:styleId="ac">
    <w:name w:val="annotation text"/>
    <w:basedOn w:val="a"/>
    <w:link w:val="ad"/>
    <w:uiPriority w:val="99"/>
    <w:semiHidden/>
    <w:unhideWhenUsed/>
    <w:rsid w:val="0030307C"/>
    <w:pPr>
      <w:jc w:val="left"/>
    </w:pPr>
  </w:style>
  <w:style w:type="character" w:customStyle="1" w:styleId="ad">
    <w:name w:val="批注文字 字符"/>
    <w:basedOn w:val="a0"/>
    <w:link w:val="ac"/>
    <w:uiPriority w:val="99"/>
    <w:semiHidden/>
    <w:rsid w:val="0030307C"/>
    <w:rPr>
      <w:szCs w:val="24"/>
    </w:rPr>
  </w:style>
  <w:style w:type="paragraph" w:styleId="ae">
    <w:name w:val="annotation subject"/>
    <w:basedOn w:val="ac"/>
    <w:next w:val="ac"/>
    <w:link w:val="af"/>
    <w:uiPriority w:val="99"/>
    <w:semiHidden/>
    <w:unhideWhenUsed/>
    <w:rsid w:val="0030307C"/>
    <w:rPr>
      <w:b/>
      <w:bCs/>
    </w:rPr>
  </w:style>
  <w:style w:type="character" w:customStyle="1" w:styleId="af">
    <w:name w:val="批注主题 字符"/>
    <w:basedOn w:val="ad"/>
    <w:link w:val="ae"/>
    <w:uiPriority w:val="99"/>
    <w:semiHidden/>
    <w:rsid w:val="0030307C"/>
    <w:rPr>
      <w:b/>
      <w:bCs/>
      <w:szCs w:val="24"/>
    </w:rPr>
  </w:style>
  <w:style w:type="character" w:styleId="af0">
    <w:name w:val="Hyperlink"/>
    <w:basedOn w:val="a0"/>
    <w:uiPriority w:val="99"/>
    <w:unhideWhenUsed/>
    <w:rsid w:val="0030307C"/>
    <w:rPr>
      <w:color w:val="0563C1" w:themeColor="hyperlink"/>
      <w:u w:val="single"/>
    </w:rPr>
  </w:style>
  <w:style w:type="character" w:styleId="af1">
    <w:name w:val="Unresolved Mention"/>
    <w:basedOn w:val="a0"/>
    <w:uiPriority w:val="99"/>
    <w:semiHidden/>
    <w:unhideWhenUsed/>
    <w:rsid w:val="00CF0C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13</Pages>
  <Words>1968</Words>
  <Characters>11222</Characters>
  <Application>Microsoft Office Word</Application>
  <DocSecurity>0</DocSecurity>
  <Lines>93</Lines>
  <Paragraphs>26</Paragraphs>
  <ScaleCrop>false</ScaleCrop>
  <Company/>
  <LinksUpToDate>false</LinksUpToDate>
  <CharactersWithSpaces>13164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承桉 李</cp:lastModifiedBy>
  <cp:revision>6</cp:revision>
  <dcterms:created xsi:type="dcterms:W3CDTF">2021-06-30T06:32:00Z</dcterms:created>
  <dcterms:modified xsi:type="dcterms:W3CDTF">2021-06-30T07:46:00Z</dcterms:modified>
</cp:coreProperties>
</file>