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7B4E94" w14:textId="3FCDB5DA" w:rsidR="007B6EB6" w:rsidRDefault="007B6EB6" w:rsidP="007B6EB6">
      <w:pPr>
        <w:jc w:val="center"/>
        <w:outlineLvl w:val="0"/>
        <w:rPr>
          <w:rFonts w:ascii="黑体" w:eastAsia="黑体" w:cs="黑体"/>
          <w:sz w:val="24"/>
        </w:rPr>
      </w:pPr>
      <w:bookmarkStart w:id="0" w:name="_Toc308180609"/>
      <w:r w:rsidRPr="002009FE">
        <w:rPr>
          <w:rFonts w:ascii="黑体" w:eastAsia="黑体" w:cs="黑体" w:hint="eastAsia"/>
          <w:sz w:val="24"/>
        </w:rPr>
        <w:t>车市扫描</w:t>
      </w:r>
      <w:r>
        <w:rPr>
          <w:rFonts w:ascii="黑体" w:eastAsia="黑体" w:cs="黑体"/>
          <w:sz w:val="24"/>
        </w:rPr>
        <w:t>-2021</w:t>
      </w:r>
      <w:r>
        <w:rPr>
          <w:rFonts w:ascii="黑体" w:eastAsia="黑体" w:cs="黑体" w:hint="eastAsia"/>
          <w:sz w:val="24"/>
        </w:rPr>
        <w:t>年</w:t>
      </w:r>
      <w:r>
        <w:rPr>
          <w:rFonts w:ascii="黑体" w:eastAsia="黑体" w:cs="黑体"/>
          <w:sz w:val="24"/>
        </w:rPr>
        <w:t>28</w:t>
      </w:r>
      <w:r w:rsidRPr="002009FE">
        <w:rPr>
          <w:rFonts w:ascii="黑体" w:eastAsia="黑体" w:cs="黑体" w:hint="eastAsia"/>
          <w:sz w:val="24"/>
        </w:rPr>
        <w:t>期（</w:t>
      </w:r>
      <w:r>
        <w:rPr>
          <w:rFonts w:ascii="黑体" w:eastAsia="黑体" w:cs="黑体"/>
          <w:sz w:val="24"/>
        </w:rPr>
        <w:t>7</w:t>
      </w:r>
      <w:r w:rsidRPr="002009FE">
        <w:rPr>
          <w:rFonts w:ascii="黑体" w:eastAsia="黑体" w:cs="黑体" w:hint="eastAsia"/>
          <w:sz w:val="24"/>
        </w:rPr>
        <w:t>月</w:t>
      </w:r>
      <w:r>
        <w:rPr>
          <w:rFonts w:ascii="黑体" w:eastAsia="黑体" w:cs="黑体"/>
          <w:sz w:val="24"/>
        </w:rPr>
        <w:t>12</w:t>
      </w:r>
      <w:r w:rsidRPr="002009FE">
        <w:rPr>
          <w:rFonts w:ascii="黑体" w:eastAsia="黑体" w:cs="黑体" w:hint="eastAsia"/>
          <w:sz w:val="24"/>
        </w:rPr>
        <w:t>日</w:t>
      </w:r>
      <w:r w:rsidRPr="002009FE">
        <w:rPr>
          <w:rFonts w:ascii="黑体" w:eastAsia="黑体" w:cs="黑体"/>
          <w:sz w:val="24"/>
        </w:rPr>
        <w:t>-</w:t>
      </w:r>
      <w:r>
        <w:rPr>
          <w:rFonts w:ascii="黑体" w:eastAsia="黑体" w:cs="黑体"/>
          <w:sz w:val="24"/>
        </w:rPr>
        <w:t>7</w:t>
      </w:r>
      <w:r w:rsidRPr="002009FE">
        <w:rPr>
          <w:rFonts w:ascii="黑体" w:eastAsia="黑体" w:cs="黑体" w:hint="eastAsia"/>
          <w:sz w:val="24"/>
        </w:rPr>
        <w:t>月</w:t>
      </w:r>
      <w:r>
        <w:rPr>
          <w:rFonts w:ascii="黑体" w:eastAsia="黑体" w:cs="黑体"/>
          <w:sz w:val="24"/>
        </w:rPr>
        <w:t>18</w:t>
      </w:r>
      <w:r w:rsidRPr="002009FE">
        <w:rPr>
          <w:rFonts w:ascii="黑体" w:eastAsia="黑体" w:cs="黑体" w:hint="eastAsia"/>
          <w:sz w:val="24"/>
        </w:rPr>
        <w:t>日）</w:t>
      </w:r>
      <w:bookmarkEnd w:id="0"/>
    </w:p>
    <w:p w14:paraId="51C64728" w14:textId="77777777" w:rsidR="006E0BB8" w:rsidRPr="002009FE" w:rsidRDefault="006E0BB8" w:rsidP="007B6EB6">
      <w:pPr>
        <w:jc w:val="center"/>
        <w:outlineLvl w:val="0"/>
        <w:rPr>
          <w:rFonts w:ascii="黑体" w:eastAsia="黑体" w:cs="Times New Roman"/>
          <w:sz w:val="24"/>
        </w:rPr>
      </w:pPr>
    </w:p>
    <w:p w14:paraId="7A824420" w14:textId="77777777" w:rsidR="007B6EB6" w:rsidRPr="00A43D0D" w:rsidRDefault="007B6EB6" w:rsidP="007B6EB6">
      <w:pPr>
        <w:rPr>
          <w:rFonts w:ascii="黑体" w:eastAsia="黑体" w:cs="黑体"/>
        </w:rPr>
      </w:pPr>
      <w:r w:rsidRPr="00A43D0D">
        <w:rPr>
          <w:rFonts w:ascii="黑体" w:eastAsia="黑体" w:cs="黑体" w:hint="eastAsia"/>
        </w:rPr>
        <w:t>主要信息源自乘联会每日新闻等</w:t>
      </w:r>
    </w:p>
    <w:p w14:paraId="727C80F3" w14:textId="77777777" w:rsidR="007B6EB6" w:rsidRPr="00A43D0D" w:rsidRDefault="007B6EB6" w:rsidP="007B6EB6">
      <w:pPr>
        <w:rPr>
          <w:rFonts w:ascii="黑体" w:eastAsia="黑体" w:cs="黑体"/>
        </w:rPr>
      </w:pPr>
      <w:r w:rsidRPr="00A43D0D">
        <w:rPr>
          <w:rFonts w:ascii="黑体" w:eastAsia="黑体" w:cs="黑体" w:hint="eastAsia"/>
        </w:rPr>
        <w:t>中国汽车流通协会汽车市场研究分会</w:t>
      </w:r>
    </w:p>
    <w:p w14:paraId="2D6BD7E6" w14:textId="77777777" w:rsidR="007B6EB6" w:rsidRPr="00A43D0D" w:rsidRDefault="007B6EB6" w:rsidP="007B6EB6">
      <w:pPr>
        <w:rPr>
          <w:rFonts w:ascii="黑体" w:eastAsia="黑体" w:cs="黑体"/>
        </w:rPr>
      </w:pPr>
      <w:r w:rsidRPr="00A43D0D">
        <w:rPr>
          <w:rFonts w:ascii="黑体" w:eastAsia="黑体" w:cs="黑体" w:hint="eastAsia"/>
        </w:rPr>
        <w:t>乘用车市场信息联席会（乘联会）</w:t>
      </w:r>
    </w:p>
    <w:p w14:paraId="1D466281" w14:textId="64D01AA2" w:rsidR="007B6EB6" w:rsidRDefault="007B6EB6" w:rsidP="007B6EB6">
      <w:pPr>
        <w:rPr>
          <w:rFonts w:ascii="黑体" w:eastAsia="黑体" w:cs="黑体"/>
        </w:rPr>
      </w:pPr>
      <w:r w:rsidRPr="00A43D0D">
        <w:rPr>
          <w:rFonts w:ascii="黑体" w:eastAsia="黑体" w:cs="黑体" w:hint="eastAsia"/>
        </w:rPr>
        <w:t>网站：</w:t>
      </w:r>
      <w:hyperlink r:id="rId7" w:history="1">
        <w:r w:rsidR="0063415F" w:rsidRPr="001D6733">
          <w:rPr>
            <w:rStyle w:val="af0"/>
            <w:rFonts w:ascii="黑体" w:eastAsia="黑体" w:cs="黑体"/>
          </w:rPr>
          <w:t>http://www.cpcaauto.com</w:t>
        </w:r>
      </w:hyperlink>
    </w:p>
    <w:p w14:paraId="5F2C2897" w14:textId="77777777" w:rsidR="0063415F" w:rsidRPr="0063415F" w:rsidRDefault="0063415F" w:rsidP="007B6EB6">
      <w:pPr>
        <w:rPr>
          <w:rFonts w:cs="Times New Roman"/>
        </w:rPr>
      </w:pPr>
    </w:p>
    <w:p w14:paraId="303DC170" w14:textId="77777777" w:rsidR="007B6EB6" w:rsidRPr="002009FE" w:rsidRDefault="007B6EB6" w:rsidP="007B6EB6">
      <w:pPr>
        <w:pStyle w:val="1"/>
        <w:numPr>
          <w:ilvl w:val="0"/>
          <w:numId w:val="1"/>
        </w:numPr>
        <w:ind w:left="284" w:firstLineChars="0"/>
        <w:outlineLvl w:val="0"/>
        <w:rPr>
          <w:rFonts w:ascii="宋体" w:cs="Times New Roman"/>
          <w:b/>
          <w:bCs/>
        </w:rPr>
      </w:pPr>
      <w:r w:rsidRPr="002009FE">
        <w:rPr>
          <w:rFonts w:cs="宋体" w:hint="eastAsia"/>
          <w:b/>
          <w:bCs/>
        </w:rPr>
        <w:t>本周车市概述：</w:t>
      </w:r>
    </w:p>
    <w:p w14:paraId="1C92FB13" w14:textId="4F11C256" w:rsidR="00B02CC2" w:rsidRPr="0063415F" w:rsidRDefault="00B02CC2" w:rsidP="00B02CC2">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7月</w:t>
      </w:r>
      <w:r w:rsidR="00EB0764">
        <w:rPr>
          <w:rFonts w:ascii="黑体" w:eastAsia="黑体" w:hAnsi="黑体" w:cs="Times New Roman" w:hint="eastAsia"/>
          <w:b/>
          <w:bCs/>
          <w:sz w:val="24"/>
        </w:rPr>
        <w:t>乘用车</w:t>
      </w:r>
      <w:r w:rsidR="00B64B30">
        <w:rPr>
          <w:rFonts w:ascii="黑体" w:eastAsia="黑体" w:hAnsi="黑体" w:cs="Times New Roman" w:hint="eastAsia"/>
          <w:b/>
          <w:bCs/>
          <w:sz w:val="24"/>
        </w:rPr>
        <w:t>市场</w:t>
      </w:r>
      <w:r w:rsidR="00EB0764">
        <w:rPr>
          <w:rFonts w:ascii="黑体" w:eastAsia="黑体" w:hAnsi="黑体" w:cs="Times New Roman" w:hint="eastAsia"/>
          <w:b/>
          <w:bCs/>
          <w:sz w:val="24"/>
        </w:rPr>
        <w:t>周度零售走势</w:t>
      </w:r>
    </w:p>
    <w:p w14:paraId="5AD32DE1" w14:textId="31ABE9A5" w:rsidR="0063415F" w:rsidRPr="002009FE" w:rsidRDefault="0063415F" w:rsidP="0063415F">
      <w:pPr>
        <w:jc w:val="center"/>
        <w:rPr>
          <w:rFonts w:ascii="Calibri" w:eastAsia="宋体" w:hAnsi="Calibri" w:cs="Times New Roman"/>
          <w:szCs w:val="21"/>
        </w:rPr>
      </w:pPr>
      <w:r>
        <w:rPr>
          <w:rFonts w:ascii="Calibri" w:eastAsia="宋体" w:hAnsi="Calibri" w:cs="Times New Roman" w:hint="eastAsia"/>
          <w:noProof/>
          <w:szCs w:val="21"/>
        </w:rPr>
        <w:drawing>
          <wp:inline distT="0" distB="0" distL="0" distR="0" wp14:anchorId="2B2F1B1C" wp14:editId="4BD87DB9">
            <wp:extent cx="3420000" cy="2537607"/>
            <wp:effectExtent l="0" t="0" r="952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a:blip r:embed="rId8">
                      <a:extLst>
                        <a:ext uri="{28A0092B-C50C-407E-A947-70E740481C1C}">
                          <a14:useLocalDpi xmlns:a14="http://schemas.microsoft.com/office/drawing/2010/main" val="0"/>
                        </a:ext>
                      </a:extLst>
                    </a:blip>
                    <a:stretch>
                      <a:fillRect/>
                    </a:stretch>
                  </pic:blipFill>
                  <pic:spPr>
                    <a:xfrm>
                      <a:off x="0" y="0"/>
                      <a:ext cx="3420000" cy="2537607"/>
                    </a:xfrm>
                    <a:prstGeom prst="rect">
                      <a:avLst/>
                    </a:prstGeom>
                  </pic:spPr>
                </pic:pic>
              </a:graphicData>
            </a:graphic>
          </wp:inline>
        </w:drawing>
      </w:r>
    </w:p>
    <w:p w14:paraId="4C78C741" w14:textId="77777777" w:rsidR="00EB0764" w:rsidRDefault="00B02CC2" w:rsidP="00EB0764">
      <w:pPr>
        <w:ind w:firstLineChars="200" w:firstLine="420"/>
        <w:rPr>
          <w:rFonts w:ascii="Calibri" w:eastAsia="宋体" w:hAnsi="Calibri" w:cs="Times New Roman"/>
          <w:szCs w:val="21"/>
        </w:rPr>
      </w:pPr>
      <w:r>
        <w:rPr>
          <w:rFonts w:ascii="Calibri" w:eastAsia="宋体" w:hAnsi="Calibri" w:cs="Times New Roman" w:hint="eastAsia"/>
          <w:szCs w:val="21"/>
        </w:rPr>
        <w:t>7</w:t>
      </w:r>
      <w:r w:rsidRPr="002A7C74">
        <w:rPr>
          <w:rFonts w:ascii="Calibri" w:eastAsia="宋体" w:hAnsi="Calibri" w:cs="Times New Roman"/>
          <w:szCs w:val="21"/>
        </w:rPr>
        <w:t>月第</w:t>
      </w:r>
      <w:r w:rsidR="00EB0764">
        <w:rPr>
          <w:rFonts w:ascii="Calibri" w:eastAsia="宋体" w:hAnsi="Calibri" w:cs="Times New Roman" w:hint="eastAsia"/>
          <w:szCs w:val="21"/>
        </w:rPr>
        <w:t>一</w:t>
      </w:r>
      <w:r w:rsidRPr="002A7C74">
        <w:rPr>
          <w:rFonts w:ascii="Calibri" w:eastAsia="宋体" w:hAnsi="Calibri" w:cs="Times New Roman"/>
          <w:szCs w:val="21"/>
        </w:rPr>
        <w:t>周的市场零售达到日均</w:t>
      </w:r>
      <w:r>
        <w:rPr>
          <w:rFonts w:ascii="Calibri" w:eastAsia="宋体" w:hAnsi="Calibri" w:cs="Times New Roman"/>
          <w:szCs w:val="21"/>
        </w:rPr>
        <w:t>3.</w:t>
      </w:r>
      <w:r w:rsidR="00EB0764">
        <w:rPr>
          <w:rFonts w:ascii="Calibri" w:eastAsia="宋体" w:hAnsi="Calibri" w:cs="Times New Roman"/>
          <w:szCs w:val="21"/>
        </w:rPr>
        <w:t>1</w:t>
      </w:r>
      <w:r w:rsidR="00EB0764">
        <w:rPr>
          <w:rFonts w:ascii="Calibri" w:eastAsia="宋体" w:hAnsi="Calibri" w:cs="Times New Roman"/>
          <w:szCs w:val="21"/>
        </w:rPr>
        <w:t>万辆</w:t>
      </w:r>
      <w:r w:rsidRPr="002A7C74">
        <w:rPr>
          <w:rFonts w:ascii="Calibri" w:eastAsia="宋体" w:hAnsi="Calibri" w:cs="Times New Roman"/>
          <w:szCs w:val="21"/>
        </w:rPr>
        <w:t>，同比</w:t>
      </w:r>
      <w:r>
        <w:rPr>
          <w:rFonts w:ascii="Calibri" w:eastAsia="宋体" w:hAnsi="Calibri" w:cs="Times New Roman" w:hint="eastAsia"/>
          <w:szCs w:val="21"/>
        </w:rPr>
        <w:t>下降</w:t>
      </w:r>
      <w:r>
        <w:rPr>
          <w:rFonts w:ascii="Calibri" w:eastAsia="宋体" w:hAnsi="Calibri" w:cs="Times New Roman"/>
          <w:szCs w:val="21"/>
        </w:rPr>
        <w:t>0</w:t>
      </w:r>
      <w:r w:rsidRPr="002A7C74">
        <w:rPr>
          <w:rFonts w:ascii="Calibri" w:eastAsia="宋体" w:hAnsi="Calibri" w:cs="Times New Roman"/>
          <w:szCs w:val="21"/>
        </w:rPr>
        <w:t>%</w:t>
      </w:r>
      <w:r w:rsidRPr="002A7C74">
        <w:rPr>
          <w:rFonts w:ascii="Calibri" w:eastAsia="宋体" w:hAnsi="Calibri" w:cs="Times New Roman"/>
          <w:szCs w:val="21"/>
        </w:rPr>
        <w:t>，表现相对平稳</w:t>
      </w:r>
      <w:r>
        <w:rPr>
          <w:rFonts w:ascii="Calibri" w:eastAsia="宋体" w:hAnsi="Calibri" w:cs="Times New Roman" w:hint="eastAsia"/>
          <w:szCs w:val="21"/>
        </w:rPr>
        <w:t>，但相对今年</w:t>
      </w:r>
      <w:r>
        <w:rPr>
          <w:rFonts w:ascii="Calibri" w:eastAsia="宋体" w:hAnsi="Calibri" w:cs="Times New Roman"/>
          <w:szCs w:val="21"/>
        </w:rPr>
        <w:t>6</w:t>
      </w:r>
      <w:r>
        <w:rPr>
          <w:rFonts w:ascii="Calibri" w:eastAsia="宋体" w:hAnsi="Calibri" w:cs="Times New Roman" w:hint="eastAsia"/>
          <w:szCs w:val="21"/>
        </w:rPr>
        <w:t>月的第一周下降</w:t>
      </w:r>
      <w:r>
        <w:rPr>
          <w:rFonts w:ascii="Calibri" w:eastAsia="宋体" w:hAnsi="Calibri" w:cs="Times New Roman"/>
          <w:szCs w:val="21"/>
        </w:rPr>
        <w:t>7</w:t>
      </w:r>
      <w:r>
        <w:rPr>
          <w:rFonts w:ascii="Calibri" w:eastAsia="宋体" w:hAnsi="Calibri" w:cs="Times New Roman" w:hint="eastAsia"/>
          <w:szCs w:val="21"/>
        </w:rPr>
        <w:t>%</w:t>
      </w:r>
      <w:r>
        <w:rPr>
          <w:rFonts w:ascii="Calibri" w:eastAsia="宋体" w:hAnsi="Calibri" w:cs="Times New Roman" w:hint="eastAsia"/>
          <w:szCs w:val="21"/>
        </w:rPr>
        <w:t>的表现偏弱。</w:t>
      </w:r>
    </w:p>
    <w:p w14:paraId="4473AA0F" w14:textId="77777777" w:rsidR="00EB0764" w:rsidRDefault="00B02CC2" w:rsidP="00EB0764">
      <w:pPr>
        <w:ind w:firstLineChars="200" w:firstLine="420"/>
        <w:rPr>
          <w:rFonts w:ascii="Calibri" w:eastAsia="宋体" w:hAnsi="Calibri" w:cs="Times New Roman"/>
          <w:szCs w:val="21"/>
        </w:rPr>
      </w:pPr>
      <w:r>
        <w:rPr>
          <w:rFonts w:ascii="Calibri" w:eastAsia="宋体" w:hAnsi="Calibri" w:cs="Times New Roman"/>
          <w:szCs w:val="21"/>
        </w:rPr>
        <w:t>7</w:t>
      </w:r>
      <w:r>
        <w:rPr>
          <w:rFonts w:ascii="Calibri" w:eastAsia="宋体" w:hAnsi="Calibri" w:cs="Times New Roman" w:hint="eastAsia"/>
          <w:szCs w:val="21"/>
        </w:rPr>
        <w:t>月的第</w:t>
      </w:r>
      <w:r w:rsidR="00EB0764">
        <w:rPr>
          <w:rFonts w:ascii="Calibri" w:eastAsia="宋体" w:hAnsi="Calibri" w:cs="Times New Roman" w:hint="eastAsia"/>
          <w:szCs w:val="21"/>
        </w:rPr>
        <w:t>二</w:t>
      </w:r>
      <w:r>
        <w:rPr>
          <w:rFonts w:ascii="Calibri" w:eastAsia="宋体" w:hAnsi="Calibri" w:cs="Times New Roman" w:hint="eastAsia"/>
          <w:szCs w:val="21"/>
        </w:rPr>
        <w:t>周总体同比下降</w:t>
      </w:r>
      <w:r>
        <w:rPr>
          <w:rFonts w:ascii="Calibri" w:eastAsia="宋体" w:hAnsi="Calibri" w:cs="Times New Roman"/>
          <w:szCs w:val="21"/>
        </w:rPr>
        <w:t>7</w:t>
      </w:r>
      <w:r>
        <w:rPr>
          <w:rFonts w:ascii="Calibri" w:eastAsia="宋体" w:hAnsi="Calibri" w:cs="Times New Roman" w:hint="eastAsia"/>
          <w:szCs w:val="21"/>
        </w:rPr>
        <w:t>%</w:t>
      </w:r>
      <w:r>
        <w:rPr>
          <w:rFonts w:ascii="Calibri" w:eastAsia="宋体" w:hAnsi="Calibri" w:cs="Times New Roman" w:hint="eastAsia"/>
          <w:szCs w:val="21"/>
        </w:rPr>
        <w:t>，</w:t>
      </w:r>
      <w:r w:rsidR="002004A7">
        <w:rPr>
          <w:rFonts w:ascii="Calibri" w:eastAsia="宋体" w:hAnsi="Calibri" w:cs="Times New Roman" w:hint="eastAsia"/>
          <w:szCs w:val="21"/>
        </w:rPr>
        <w:t>走势相对平稳，相对</w:t>
      </w:r>
      <w:r w:rsidR="002004A7">
        <w:rPr>
          <w:rFonts w:ascii="Calibri" w:eastAsia="宋体" w:hAnsi="Calibri" w:cs="Times New Roman" w:hint="eastAsia"/>
          <w:szCs w:val="21"/>
        </w:rPr>
        <w:t>6</w:t>
      </w:r>
      <w:r w:rsidR="002004A7">
        <w:rPr>
          <w:rFonts w:ascii="Calibri" w:eastAsia="宋体" w:hAnsi="Calibri" w:cs="Times New Roman" w:hint="eastAsia"/>
          <w:szCs w:val="21"/>
        </w:rPr>
        <w:t>月第二周的零售增长</w:t>
      </w:r>
      <w:r w:rsidR="002004A7">
        <w:rPr>
          <w:rFonts w:ascii="Calibri" w:eastAsia="宋体" w:hAnsi="Calibri" w:cs="Times New Roman" w:hint="eastAsia"/>
          <w:szCs w:val="21"/>
        </w:rPr>
        <w:t>3</w:t>
      </w:r>
      <w:r w:rsidR="002004A7">
        <w:rPr>
          <w:rFonts w:ascii="Calibri" w:eastAsia="宋体" w:hAnsi="Calibri" w:cs="Times New Roman"/>
          <w:szCs w:val="21"/>
        </w:rPr>
        <w:t>7</w:t>
      </w:r>
      <w:r w:rsidR="002004A7">
        <w:rPr>
          <w:rFonts w:ascii="Calibri" w:eastAsia="宋体" w:hAnsi="Calibri" w:cs="Times New Roman" w:hint="eastAsia"/>
          <w:szCs w:val="21"/>
        </w:rPr>
        <w:t>%</w:t>
      </w:r>
      <w:r w:rsidR="002004A7">
        <w:rPr>
          <w:rFonts w:ascii="Calibri" w:eastAsia="宋体" w:hAnsi="Calibri" w:cs="Times New Roman" w:hint="eastAsia"/>
          <w:szCs w:val="21"/>
        </w:rPr>
        <w:t>，这也是</w:t>
      </w:r>
      <w:r w:rsidR="00EB0764">
        <w:rPr>
          <w:rFonts w:ascii="Calibri" w:eastAsia="宋体" w:hAnsi="Calibri" w:cs="Times New Roman" w:hint="eastAsia"/>
          <w:szCs w:val="21"/>
        </w:rPr>
        <w:t>受</w:t>
      </w:r>
      <w:r w:rsidR="002004A7">
        <w:rPr>
          <w:rFonts w:ascii="Calibri" w:eastAsia="宋体" w:hAnsi="Calibri" w:cs="Times New Roman" w:hint="eastAsia"/>
          <w:szCs w:val="21"/>
        </w:rPr>
        <w:t>6</w:t>
      </w:r>
      <w:r w:rsidR="002004A7">
        <w:rPr>
          <w:rFonts w:ascii="Calibri" w:eastAsia="宋体" w:hAnsi="Calibri" w:cs="Times New Roman" w:hint="eastAsia"/>
          <w:szCs w:val="21"/>
        </w:rPr>
        <w:t>月</w:t>
      </w:r>
      <w:r w:rsidR="00FB7106">
        <w:rPr>
          <w:rFonts w:ascii="Calibri" w:eastAsia="宋体" w:hAnsi="Calibri" w:cs="Times New Roman" w:hint="eastAsia"/>
          <w:szCs w:val="21"/>
        </w:rPr>
        <w:t>端午和广东疫情</w:t>
      </w:r>
      <w:r w:rsidR="002004A7">
        <w:rPr>
          <w:rFonts w:ascii="Calibri" w:eastAsia="宋体" w:hAnsi="Calibri" w:cs="Times New Roman" w:hint="eastAsia"/>
          <w:szCs w:val="21"/>
        </w:rPr>
        <w:t>销量偏低的影响</w:t>
      </w:r>
      <w:r>
        <w:rPr>
          <w:rFonts w:ascii="Calibri" w:eastAsia="宋体" w:hAnsi="Calibri" w:cs="Times New Roman" w:hint="eastAsia"/>
          <w:szCs w:val="21"/>
        </w:rPr>
        <w:t>。</w:t>
      </w:r>
    </w:p>
    <w:p w14:paraId="321B7B95" w14:textId="3A27E22A" w:rsidR="00B02CC2" w:rsidRDefault="00FB7106" w:rsidP="00EB0764">
      <w:pPr>
        <w:ind w:firstLineChars="200" w:firstLine="420"/>
        <w:rPr>
          <w:rFonts w:ascii="Calibri" w:eastAsia="宋体" w:hAnsi="Calibri" w:cs="Times New Roman"/>
          <w:szCs w:val="21"/>
        </w:rPr>
      </w:pPr>
      <w:r w:rsidRPr="00FB7106">
        <w:rPr>
          <w:rFonts w:ascii="Calibri" w:eastAsia="宋体" w:hAnsi="Calibri" w:cs="Times New Roman"/>
          <w:szCs w:val="21"/>
        </w:rPr>
        <w:t>7</w:t>
      </w:r>
      <w:r w:rsidRPr="00FB7106">
        <w:rPr>
          <w:rFonts w:ascii="Calibri" w:eastAsia="宋体" w:hAnsi="Calibri" w:cs="Times New Roman"/>
          <w:szCs w:val="21"/>
        </w:rPr>
        <w:t>月进入</w:t>
      </w:r>
      <w:r w:rsidR="00EB0764">
        <w:rPr>
          <w:rFonts w:ascii="Calibri" w:eastAsia="宋体" w:hAnsi="Calibri" w:cs="Times New Roman" w:hint="eastAsia"/>
          <w:szCs w:val="21"/>
        </w:rPr>
        <w:t>车市</w:t>
      </w:r>
      <w:r w:rsidRPr="00FB7106">
        <w:rPr>
          <w:rFonts w:ascii="Calibri" w:eastAsia="宋体" w:hAnsi="Calibri" w:cs="Times New Roman"/>
          <w:szCs w:val="21"/>
        </w:rPr>
        <w:t>传统淡季，高温天气导致整体市场需求放缓</w:t>
      </w:r>
      <w:r>
        <w:rPr>
          <w:rFonts w:ascii="Calibri" w:eastAsia="宋体" w:hAnsi="Calibri" w:cs="Times New Roman" w:hint="eastAsia"/>
          <w:szCs w:val="21"/>
        </w:rPr>
        <w:t>。</w:t>
      </w:r>
      <w:r w:rsidR="00B02CC2" w:rsidRPr="00EC2631">
        <w:rPr>
          <w:rFonts w:ascii="Calibri" w:eastAsia="宋体" w:hAnsi="Calibri" w:cs="Times New Roman" w:hint="eastAsia"/>
          <w:szCs w:val="21"/>
        </w:rPr>
        <w:t>由于持续的去库存，经销商的库存水平已经很低了，</w:t>
      </w:r>
      <w:r w:rsidRPr="00FB7106">
        <w:rPr>
          <w:rFonts w:ascii="Calibri" w:eastAsia="宋体" w:hAnsi="Calibri" w:cs="Times New Roman" w:hint="eastAsia"/>
          <w:szCs w:val="21"/>
        </w:rPr>
        <w:t>自主品牌弥补日系</w:t>
      </w:r>
      <w:r w:rsidR="00EB0764">
        <w:rPr>
          <w:rFonts w:ascii="Calibri" w:eastAsia="宋体" w:hAnsi="Calibri" w:cs="Times New Roman" w:hint="eastAsia"/>
          <w:szCs w:val="21"/>
        </w:rPr>
        <w:t>、</w:t>
      </w:r>
      <w:r w:rsidRPr="00FB7106">
        <w:rPr>
          <w:rFonts w:ascii="Calibri" w:eastAsia="宋体" w:hAnsi="Calibri" w:cs="Times New Roman" w:hint="eastAsia"/>
          <w:szCs w:val="21"/>
        </w:rPr>
        <w:t>欧系供给不足的影响</w:t>
      </w:r>
      <w:r>
        <w:rPr>
          <w:rFonts w:ascii="Calibri" w:eastAsia="宋体" w:hAnsi="Calibri" w:cs="Times New Roman" w:hint="eastAsia"/>
          <w:szCs w:val="21"/>
        </w:rPr>
        <w:t>。广东开展以旧换新等政策促进</w:t>
      </w:r>
      <w:r w:rsidRPr="00FB7106">
        <w:rPr>
          <w:rFonts w:ascii="Calibri" w:eastAsia="宋体" w:hAnsi="Calibri" w:cs="Times New Roman" w:hint="eastAsia"/>
          <w:szCs w:val="21"/>
        </w:rPr>
        <w:t>车市消费环境良好，央行降准，释放货币流动性</w:t>
      </w:r>
      <w:r w:rsidR="00B02CC2" w:rsidRPr="00EC2631">
        <w:rPr>
          <w:rFonts w:ascii="Calibri" w:eastAsia="宋体" w:hAnsi="Calibri" w:cs="Times New Roman" w:hint="eastAsia"/>
          <w:szCs w:val="21"/>
        </w:rPr>
        <w:t>，零售依旧保持良好较高水平。</w:t>
      </w:r>
    </w:p>
    <w:p w14:paraId="56138834" w14:textId="77777777" w:rsidR="00B02CC2" w:rsidRPr="00411336" w:rsidRDefault="00B02CC2" w:rsidP="00B02CC2">
      <w:pPr>
        <w:ind w:firstLineChars="135" w:firstLine="283"/>
        <w:rPr>
          <w:rFonts w:ascii="Calibri" w:eastAsia="宋体" w:hAnsi="Calibri" w:cs="Times New Roman"/>
          <w:szCs w:val="21"/>
        </w:rPr>
      </w:pPr>
    </w:p>
    <w:p w14:paraId="79627A41" w14:textId="29F06844" w:rsidR="00B02CC2" w:rsidRPr="00EB6671" w:rsidRDefault="00B02CC2" w:rsidP="00B02CC2">
      <w:pPr>
        <w:numPr>
          <w:ilvl w:val="0"/>
          <w:numId w:val="2"/>
        </w:numPr>
        <w:outlineLvl w:val="1"/>
        <w:rPr>
          <w:rFonts w:ascii="黑体" w:eastAsia="黑体" w:hAnsi="黑体" w:cs="Times New Roman"/>
          <w:b/>
          <w:bCs/>
          <w:sz w:val="24"/>
        </w:rPr>
      </w:pPr>
      <w:r>
        <w:rPr>
          <w:rFonts w:ascii="黑体" w:eastAsia="黑体" w:hAnsi="黑体" w:cs="Times New Roman"/>
          <w:b/>
          <w:bCs/>
          <w:sz w:val="24"/>
        </w:rPr>
        <w:t>7</w:t>
      </w:r>
      <w:r>
        <w:rPr>
          <w:rFonts w:ascii="黑体" w:eastAsia="黑体" w:hAnsi="黑体" w:cs="Times New Roman" w:hint="eastAsia"/>
          <w:b/>
          <w:bCs/>
          <w:sz w:val="24"/>
        </w:rPr>
        <w:t>月</w:t>
      </w:r>
      <w:r w:rsidR="00EB0764">
        <w:rPr>
          <w:rFonts w:ascii="黑体" w:eastAsia="黑体" w:hAnsi="黑体" w:cs="Times New Roman" w:hint="eastAsia"/>
          <w:b/>
          <w:bCs/>
          <w:sz w:val="24"/>
        </w:rPr>
        <w:t>乘用车</w:t>
      </w:r>
      <w:r w:rsidR="00B64B30">
        <w:rPr>
          <w:rFonts w:ascii="黑体" w:eastAsia="黑体" w:hAnsi="黑体" w:cs="Times New Roman" w:hint="eastAsia"/>
          <w:b/>
          <w:bCs/>
          <w:sz w:val="24"/>
        </w:rPr>
        <w:t>市场</w:t>
      </w:r>
      <w:r w:rsidR="00EB0764">
        <w:rPr>
          <w:rFonts w:ascii="黑体" w:eastAsia="黑体" w:hAnsi="黑体" w:cs="Times New Roman" w:hint="eastAsia"/>
          <w:b/>
          <w:bCs/>
          <w:sz w:val="24"/>
        </w:rPr>
        <w:t>周度批发走势</w:t>
      </w:r>
    </w:p>
    <w:p w14:paraId="79FBF7F0" w14:textId="553B3E06" w:rsidR="00EB6671" w:rsidRPr="00186DB5" w:rsidRDefault="00EB6671" w:rsidP="00EB6671">
      <w:pPr>
        <w:jc w:val="center"/>
        <w:rPr>
          <w:rFonts w:ascii="Calibri" w:eastAsia="宋体" w:hAnsi="Calibri" w:cs="宋体"/>
          <w:szCs w:val="21"/>
        </w:rPr>
      </w:pPr>
      <w:r>
        <w:rPr>
          <w:rFonts w:ascii="Calibri" w:eastAsia="宋体" w:hAnsi="Calibri" w:cs="宋体" w:hint="eastAsia"/>
          <w:noProof/>
          <w:szCs w:val="21"/>
        </w:rPr>
        <w:drawing>
          <wp:inline distT="0" distB="0" distL="0" distR="0" wp14:anchorId="5CC74A4A" wp14:editId="448CFB55">
            <wp:extent cx="3420000" cy="2537607"/>
            <wp:effectExtent l="0" t="0" r="952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9">
                      <a:extLst>
                        <a:ext uri="{28A0092B-C50C-407E-A947-70E740481C1C}">
                          <a14:useLocalDpi xmlns:a14="http://schemas.microsoft.com/office/drawing/2010/main" val="0"/>
                        </a:ext>
                      </a:extLst>
                    </a:blip>
                    <a:stretch>
                      <a:fillRect/>
                    </a:stretch>
                  </pic:blipFill>
                  <pic:spPr>
                    <a:xfrm>
                      <a:off x="0" y="0"/>
                      <a:ext cx="3420000" cy="2537607"/>
                    </a:xfrm>
                    <a:prstGeom prst="rect">
                      <a:avLst/>
                    </a:prstGeom>
                  </pic:spPr>
                </pic:pic>
              </a:graphicData>
            </a:graphic>
          </wp:inline>
        </w:drawing>
      </w:r>
    </w:p>
    <w:p w14:paraId="150426D4" w14:textId="77777777" w:rsidR="00EB6671" w:rsidRDefault="00B02CC2" w:rsidP="00EB6671">
      <w:pPr>
        <w:ind w:firstLineChars="200" w:firstLine="420"/>
        <w:rPr>
          <w:rFonts w:ascii="Calibri" w:eastAsia="宋体" w:hAnsi="Calibri" w:cs="Times New Roman"/>
          <w:szCs w:val="21"/>
        </w:rPr>
      </w:pPr>
      <w:r>
        <w:rPr>
          <w:rFonts w:ascii="Calibri" w:eastAsia="宋体" w:hAnsi="Calibri" w:cs="Times New Roman"/>
          <w:szCs w:val="21"/>
        </w:rPr>
        <w:lastRenderedPageBreak/>
        <w:t>7</w:t>
      </w:r>
      <w:r>
        <w:rPr>
          <w:rFonts w:ascii="Calibri" w:eastAsia="宋体" w:hAnsi="Calibri" w:cs="Times New Roman" w:hint="eastAsia"/>
          <w:szCs w:val="21"/>
        </w:rPr>
        <w:t>月第</w:t>
      </w:r>
      <w:r w:rsidR="00EB6671">
        <w:rPr>
          <w:rFonts w:ascii="Calibri" w:eastAsia="宋体" w:hAnsi="Calibri" w:cs="Times New Roman" w:hint="eastAsia"/>
          <w:szCs w:val="21"/>
        </w:rPr>
        <w:t>一</w:t>
      </w:r>
      <w:r>
        <w:rPr>
          <w:rFonts w:ascii="Calibri" w:eastAsia="宋体" w:hAnsi="Calibri" w:cs="Times New Roman" w:hint="eastAsia"/>
          <w:szCs w:val="21"/>
        </w:rPr>
        <w:t>周日均批发</w:t>
      </w:r>
      <w:r>
        <w:rPr>
          <w:rFonts w:ascii="Calibri" w:eastAsia="宋体" w:hAnsi="Calibri" w:cs="Times New Roman"/>
          <w:szCs w:val="21"/>
        </w:rPr>
        <w:t>2.9</w:t>
      </w:r>
      <w:r w:rsidR="00EB0764">
        <w:rPr>
          <w:rFonts w:ascii="Calibri" w:eastAsia="宋体" w:hAnsi="Calibri" w:cs="Times New Roman"/>
          <w:szCs w:val="21"/>
        </w:rPr>
        <w:t>万辆</w:t>
      </w:r>
      <w:r>
        <w:rPr>
          <w:rFonts w:ascii="Calibri" w:eastAsia="宋体" w:hAnsi="Calibri" w:cs="Times New Roman"/>
          <w:szCs w:val="21"/>
        </w:rPr>
        <w:t>，同比</w:t>
      </w:r>
      <w:r>
        <w:rPr>
          <w:rFonts w:ascii="Calibri" w:eastAsia="宋体" w:hAnsi="Calibri" w:cs="Times New Roman" w:hint="eastAsia"/>
          <w:szCs w:val="21"/>
        </w:rPr>
        <w:t>下降</w:t>
      </w:r>
      <w:r>
        <w:rPr>
          <w:rFonts w:ascii="Calibri" w:eastAsia="宋体" w:hAnsi="Calibri" w:cs="Times New Roman"/>
          <w:szCs w:val="21"/>
        </w:rPr>
        <w:t>18</w:t>
      </w:r>
      <w:r>
        <w:rPr>
          <w:rFonts w:ascii="Calibri" w:eastAsia="宋体" w:hAnsi="Calibri" w:cs="Times New Roman" w:hint="eastAsia"/>
          <w:szCs w:val="21"/>
        </w:rPr>
        <w:t>%</w:t>
      </w:r>
      <w:r>
        <w:rPr>
          <w:rFonts w:ascii="Calibri" w:eastAsia="宋体" w:hAnsi="Calibri" w:cs="Times New Roman" w:hint="eastAsia"/>
          <w:szCs w:val="21"/>
        </w:rPr>
        <w:t>，走势相对放缓。本周相对于</w:t>
      </w:r>
      <w:r>
        <w:rPr>
          <w:rFonts w:ascii="Calibri" w:eastAsia="宋体" w:hAnsi="Calibri" w:cs="Times New Roman"/>
          <w:szCs w:val="21"/>
        </w:rPr>
        <w:t>6</w:t>
      </w:r>
      <w:r>
        <w:rPr>
          <w:rFonts w:ascii="Calibri" w:eastAsia="宋体" w:hAnsi="Calibri" w:cs="Times New Roman" w:hint="eastAsia"/>
          <w:szCs w:val="21"/>
        </w:rPr>
        <w:t>月第一周的销量增长</w:t>
      </w:r>
      <w:r>
        <w:rPr>
          <w:rFonts w:ascii="Calibri" w:eastAsia="宋体" w:hAnsi="Calibri" w:cs="Times New Roman"/>
          <w:szCs w:val="21"/>
        </w:rPr>
        <w:t>1</w:t>
      </w:r>
      <w:r>
        <w:rPr>
          <w:rFonts w:ascii="Calibri" w:eastAsia="宋体" w:hAnsi="Calibri" w:cs="Times New Roman" w:hint="eastAsia"/>
          <w:szCs w:val="21"/>
        </w:rPr>
        <w:t>%</w:t>
      </w:r>
      <w:r w:rsidR="002004A7">
        <w:rPr>
          <w:rFonts w:ascii="Calibri" w:eastAsia="宋体" w:hAnsi="Calibri" w:cs="Times New Roman" w:hint="eastAsia"/>
          <w:szCs w:val="21"/>
        </w:rPr>
        <w:t>。</w:t>
      </w:r>
    </w:p>
    <w:p w14:paraId="4CCAE4B9" w14:textId="77777777" w:rsidR="00EB6671" w:rsidRDefault="002004A7" w:rsidP="00EB6671">
      <w:pPr>
        <w:ind w:firstLineChars="200" w:firstLine="420"/>
        <w:rPr>
          <w:rFonts w:ascii="Calibri" w:eastAsia="宋体" w:hAnsi="Calibri" w:cs="Times New Roman"/>
          <w:szCs w:val="21"/>
        </w:rPr>
      </w:pPr>
      <w:r>
        <w:rPr>
          <w:rFonts w:ascii="Calibri" w:eastAsia="宋体" w:hAnsi="Calibri" w:cs="Times New Roman"/>
          <w:szCs w:val="21"/>
        </w:rPr>
        <w:t>7</w:t>
      </w:r>
      <w:r>
        <w:rPr>
          <w:rFonts w:ascii="Calibri" w:eastAsia="宋体" w:hAnsi="Calibri" w:cs="Times New Roman" w:hint="eastAsia"/>
          <w:szCs w:val="21"/>
        </w:rPr>
        <w:t>月第</w:t>
      </w:r>
      <w:r w:rsidR="00EB6671">
        <w:rPr>
          <w:rFonts w:ascii="Calibri" w:eastAsia="宋体" w:hAnsi="Calibri" w:cs="Times New Roman" w:hint="eastAsia"/>
          <w:szCs w:val="21"/>
        </w:rPr>
        <w:t>二</w:t>
      </w:r>
      <w:r>
        <w:rPr>
          <w:rFonts w:ascii="Calibri" w:eastAsia="宋体" w:hAnsi="Calibri" w:cs="Times New Roman" w:hint="eastAsia"/>
          <w:szCs w:val="21"/>
        </w:rPr>
        <w:t>周日均批发</w:t>
      </w:r>
      <w:r>
        <w:rPr>
          <w:rFonts w:ascii="Calibri" w:eastAsia="宋体" w:hAnsi="Calibri" w:cs="Times New Roman"/>
          <w:szCs w:val="21"/>
        </w:rPr>
        <w:t>3</w:t>
      </w:r>
      <w:r w:rsidR="00EB6671">
        <w:rPr>
          <w:rFonts w:ascii="Calibri" w:eastAsia="宋体" w:hAnsi="Calibri" w:cs="Times New Roman" w:hint="eastAsia"/>
          <w:szCs w:val="21"/>
        </w:rPr>
        <w:t>.</w:t>
      </w:r>
      <w:r w:rsidR="00EB6671">
        <w:rPr>
          <w:rFonts w:ascii="Calibri" w:eastAsia="宋体" w:hAnsi="Calibri" w:cs="Times New Roman"/>
          <w:szCs w:val="21"/>
        </w:rPr>
        <w:t>0</w:t>
      </w:r>
      <w:r w:rsidR="00EB0764">
        <w:rPr>
          <w:rFonts w:ascii="Calibri" w:eastAsia="宋体" w:hAnsi="Calibri" w:cs="Times New Roman"/>
          <w:szCs w:val="21"/>
        </w:rPr>
        <w:t>万辆</w:t>
      </w:r>
      <w:r>
        <w:rPr>
          <w:rFonts w:ascii="Calibri" w:eastAsia="宋体" w:hAnsi="Calibri" w:cs="Times New Roman"/>
          <w:szCs w:val="21"/>
        </w:rPr>
        <w:t>，同比</w:t>
      </w:r>
      <w:r>
        <w:rPr>
          <w:rFonts w:ascii="Calibri" w:eastAsia="宋体" w:hAnsi="Calibri" w:cs="Times New Roman" w:hint="eastAsia"/>
          <w:szCs w:val="21"/>
        </w:rPr>
        <w:t>下降</w:t>
      </w:r>
      <w:r>
        <w:rPr>
          <w:rFonts w:ascii="Calibri" w:eastAsia="宋体" w:hAnsi="Calibri" w:cs="Times New Roman"/>
          <w:szCs w:val="21"/>
        </w:rPr>
        <w:t>29</w:t>
      </w:r>
      <w:r>
        <w:rPr>
          <w:rFonts w:ascii="Calibri" w:eastAsia="宋体" w:hAnsi="Calibri" w:cs="Times New Roman" w:hint="eastAsia"/>
          <w:szCs w:val="21"/>
        </w:rPr>
        <w:t>%</w:t>
      </w:r>
      <w:r>
        <w:rPr>
          <w:rFonts w:ascii="Calibri" w:eastAsia="宋体" w:hAnsi="Calibri" w:cs="Times New Roman" w:hint="eastAsia"/>
          <w:szCs w:val="21"/>
        </w:rPr>
        <w:t>，走势相对偏低。本周相对于</w:t>
      </w:r>
      <w:r>
        <w:rPr>
          <w:rFonts w:ascii="Calibri" w:eastAsia="宋体" w:hAnsi="Calibri" w:cs="Times New Roman"/>
          <w:szCs w:val="21"/>
        </w:rPr>
        <w:t>6</w:t>
      </w:r>
      <w:r>
        <w:rPr>
          <w:rFonts w:ascii="Calibri" w:eastAsia="宋体" w:hAnsi="Calibri" w:cs="Times New Roman" w:hint="eastAsia"/>
          <w:szCs w:val="21"/>
        </w:rPr>
        <w:t>月第</w:t>
      </w:r>
      <w:r w:rsidR="00EB6671">
        <w:rPr>
          <w:rFonts w:ascii="Calibri" w:eastAsia="宋体" w:hAnsi="Calibri" w:cs="Times New Roman" w:hint="eastAsia"/>
          <w:szCs w:val="21"/>
        </w:rPr>
        <w:t>二</w:t>
      </w:r>
      <w:r>
        <w:rPr>
          <w:rFonts w:ascii="Calibri" w:eastAsia="宋体" w:hAnsi="Calibri" w:cs="Times New Roman" w:hint="eastAsia"/>
          <w:szCs w:val="21"/>
        </w:rPr>
        <w:t>周的销量增长</w:t>
      </w:r>
      <w:r>
        <w:rPr>
          <w:rFonts w:ascii="Calibri" w:eastAsia="宋体" w:hAnsi="Calibri" w:cs="Times New Roman" w:hint="eastAsia"/>
          <w:szCs w:val="21"/>
        </w:rPr>
        <w:t>5%</w:t>
      </w:r>
      <w:r w:rsidR="00EB6671">
        <w:rPr>
          <w:rFonts w:ascii="Calibri" w:eastAsia="宋体" w:hAnsi="Calibri" w:cs="Times New Roman" w:hint="eastAsia"/>
          <w:szCs w:val="21"/>
        </w:rPr>
        <w:t>。</w:t>
      </w:r>
    </w:p>
    <w:p w14:paraId="2392D07C" w14:textId="77777777" w:rsidR="00EB6671" w:rsidRDefault="00B02CC2" w:rsidP="00EB6671">
      <w:pPr>
        <w:ind w:firstLineChars="200" w:firstLine="420"/>
        <w:rPr>
          <w:rFonts w:ascii="Calibri" w:eastAsia="宋体" w:hAnsi="Calibri" w:cs="Times New Roman"/>
          <w:szCs w:val="21"/>
        </w:rPr>
      </w:pPr>
      <w:r>
        <w:rPr>
          <w:rFonts w:ascii="Calibri" w:eastAsia="宋体" w:hAnsi="Calibri" w:cs="Times New Roman"/>
          <w:szCs w:val="21"/>
        </w:rPr>
        <w:t>7</w:t>
      </w:r>
      <w:r>
        <w:rPr>
          <w:rFonts w:ascii="Calibri" w:eastAsia="宋体" w:hAnsi="Calibri" w:cs="Times New Roman" w:hint="eastAsia"/>
          <w:szCs w:val="21"/>
        </w:rPr>
        <w:t>月</w:t>
      </w:r>
      <w:r w:rsidR="00EB6671">
        <w:rPr>
          <w:rFonts w:ascii="Calibri" w:eastAsia="宋体" w:hAnsi="Calibri" w:cs="Times New Roman" w:hint="eastAsia"/>
          <w:szCs w:val="21"/>
        </w:rPr>
        <w:t>一至二</w:t>
      </w:r>
      <w:r w:rsidR="002004A7">
        <w:rPr>
          <w:rFonts w:ascii="Calibri" w:eastAsia="宋体" w:hAnsi="Calibri" w:cs="Times New Roman" w:hint="eastAsia"/>
          <w:szCs w:val="21"/>
        </w:rPr>
        <w:t>周</w:t>
      </w:r>
      <w:r>
        <w:rPr>
          <w:rFonts w:ascii="Calibri" w:eastAsia="宋体" w:hAnsi="Calibri" w:cs="Times New Roman" w:hint="eastAsia"/>
          <w:szCs w:val="21"/>
        </w:rPr>
        <w:t>的</w:t>
      </w:r>
      <w:r w:rsidR="00EB6671">
        <w:rPr>
          <w:rFonts w:ascii="Calibri" w:eastAsia="宋体" w:hAnsi="Calibri" w:cs="Times New Roman" w:hint="eastAsia"/>
          <w:szCs w:val="21"/>
        </w:rPr>
        <w:t>厂商</w:t>
      </w:r>
      <w:r>
        <w:rPr>
          <w:rFonts w:ascii="Calibri" w:eastAsia="宋体" w:hAnsi="Calibri" w:cs="Times New Roman" w:hint="eastAsia"/>
          <w:szCs w:val="21"/>
        </w:rPr>
        <w:t>产销相对平淡，但</w:t>
      </w:r>
      <w:r w:rsidR="00EB6671">
        <w:rPr>
          <w:rFonts w:ascii="Calibri" w:eastAsia="宋体" w:hAnsi="Calibri" w:cs="Times New Roman" w:hint="eastAsia"/>
          <w:szCs w:val="21"/>
        </w:rPr>
        <w:t>因</w:t>
      </w:r>
      <w:r>
        <w:rPr>
          <w:rFonts w:ascii="Calibri" w:eastAsia="宋体" w:hAnsi="Calibri" w:cs="Times New Roman"/>
          <w:szCs w:val="21"/>
        </w:rPr>
        <w:t>6</w:t>
      </w:r>
      <w:r>
        <w:rPr>
          <w:rFonts w:ascii="Calibri" w:eastAsia="宋体" w:hAnsi="Calibri" w:cs="Times New Roman" w:hint="eastAsia"/>
          <w:szCs w:val="21"/>
        </w:rPr>
        <w:t>月初的休假因素导致批发</w:t>
      </w:r>
      <w:r w:rsidR="002004A7">
        <w:rPr>
          <w:rFonts w:ascii="Calibri" w:eastAsia="宋体" w:hAnsi="Calibri" w:cs="Times New Roman" w:hint="eastAsia"/>
          <w:szCs w:val="21"/>
        </w:rPr>
        <w:t>环比增长</w:t>
      </w:r>
      <w:r w:rsidR="002004A7">
        <w:rPr>
          <w:rFonts w:ascii="Calibri" w:eastAsia="宋体" w:hAnsi="Calibri" w:cs="Times New Roman" w:hint="eastAsia"/>
          <w:szCs w:val="21"/>
        </w:rPr>
        <w:t>3%</w:t>
      </w:r>
      <w:r>
        <w:rPr>
          <w:rFonts w:ascii="Calibri" w:eastAsia="宋体" w:hAnsi="Calibri" w:cs="Times New Roman" w:hint="eastAsia"/>
          <w:szCs w:val="21"/>
        </w:rPr>
        <w:t>，因此</w:t>
      </w:r>
      <w:r w:rsidR="00EB6671">
        <w:rPr>
          <w:rFonts w:ascii="Calibri" w:eastAsia="宋体" w:hAnsi="Calibri" w:cs="Times New Roman"/>
          <w:szCs w:val="21"/>
        </w:rPr>
        <w:t>6</w:t>
      </w:r>
      <w:r w:rsidR="00EB6671">
        <w:rPr>
          <w:rFonts w:ascii="Calibri" w:eastAsia="宋体" w:hAnsi="Calibri" w:cs="Times New Roman" w:hint="eastAsia"/>
          <w:szCs w:val="21"/>
        </w:rPr>
        <w:t>月同期的</w:t>
      </w:r>
      <w:r>
        <w:rPr>
          <w:rFonts w:ascii="Calibri" w:eastAsia="宋体" w:hAnsi="Calibri" w:cs="Times New Roman" w:hint="eastAsia"/>
          <w:szCs w:val="21"/>
        </w:rPr>
        <w:t>批发表现相对较好。</w:t>
      </w:r>
    </w:p>
    <w:p w14:paraId="6F87F04C" w14:textId="731D7C61" w:rsidR="00B02CC2" w:rsidRPr="008E7F23" w:rsidRDefault="00EB6671" w:rsidP="00EB6671">
      <w:pPr>
        <w:ind w:firstLineChars="200" w:firstLine="420"/>
        <w:rPr>
          <w:rFonts w:ascii="Calibri" w:eastAsia="宋体" w:hAnsi="Calibri" w:cs="Times New Roman"/>
          <w:szCs w:val="21"/>
        </w:rPr>
      </w:pPr>
      <w:r>
        <w:rPr>
          <w:rFonts w:ascii="Calibri" w:eastAsia="宋体" w:hAnsi="Calibri" w:cs="Times New Roman" w:hint="eastAsia"/>
          <w:szCs w:val="21"/>
        </w:rPr>
        <w:t>部分厂商</w:t>
      </w:r>
      <w:r w:rsidR="00FB7106" w:rsidRPr="00FB7106">
        <w:rPr>
          <w:rFonts w:ascii="Calibri" w:eastAsia="宋体" w:hAnsi="Calibri" w:cs="Times New Roman" w:hint="eastAsia"/>
          <w:szCs w:val="21"/>
        </w:rPr>
        <w:t>把高温假提</w:t>
      </w:r>
      <w:r>
        <w:rPr>
          <w:rFonts w:ascii="Calibri" w:eastAsia="宋体" w:hAnsi="Calibri" w:cs="Times New Roman" w:hint="eastAsia"/>
          <w:szCs w:val="21"/>
        </w:rPr>
        <w:t>前</w:t>
      </w:r>
      <w:r w:rsidR="00FB7106" w:rsidRPr="00FB7106">
        <w:rPr>
          <w:rFonts w:ascii="Calibri" w:eastAsia="宋体" w:hAnsi="Calibri" w:cs="Times New Roman" w:hint="eastAsia"/>
          <w:szCs w:val="21"/>
        </w:rPr>
        <w:t>到</w:t>
      </w:r>
      <w:r w:rsidR="00FB7106" w:rsidRPr="00FB7106">
        <w:rPr>
          <w:rFonts w:ascii="Calibri" w:eastAsia="宋体" w:hAnsi="Calibri" w:cs="Times New Roman"/>
          <w:szCs w:val="21"/>
        </w:rPr>
        <w:t>7</w:t>
      </w:r>
      <w:r w:rsidR="00FB7106" w:rsidRPr="00FB7106">
        <w:rPr>
          <w:rFonts w:ascii="Calibri" w:eastAsia="宋体" w:hAnsi="Calibri" w:cs="Times New Roman"/>
          <w:szCs w:val="21"/>
        </w:rPr>
        <w:t>月，并延长休假，避开芯片紧缺的</w:t>
      </w:r>
      <w:r>
        <w:rPr>
          <w:rFonts w:ascii="Calibri" w:eastAsia="宋体" w:hAnsi="Calibri" w:cs="Times New Roman" w:hint="eastAsia"/>
          <w:szCs w:val="21"/>
        </w:rPr>
        <w:t>影响</w:t>
      </w:r>
      <w:r w:rsidR="00FB7106">
        <w:rPr>
          <w:rFonts w:ascii="Calibri" w:eastAsia="宋体" w:hAnsi="Calibri" w:cs="Times New Roman" w:hint="eastAsia"/>
          <w:szCs w:val="21"/>
        </w:rPr>
        <w:t>。</w:t>
      </w:r>
      <w:r w:rsidR="00B02CC2">
        <w:rPr>
          <w:rFonts w:ascii="Calibri" w:eastAsia="宋体" w:hAnsi="Calibri" w:cs="Times New Roman" w:hint="eastAsia"/>
          <w:szCs w:val="21"/>
        </w:rPr>
        <w:t>随着</w:t>
      </w:r>
      <w:r w:rsidR="00FB7106">
        <w:rPr>
          <w:rFonts w:ascii="Calibri" w:eastAsia="宋体" w:hAnsi="Calibri" w:cs="Times New Roman" w:hint="eastAsia"/>
          <w:szCs w:val="21"/>
        </w:rPr>
        <w:t>部分车企月末</w:t>
      </w:r>
      <w:r w:rsidR="00B02CC2">
        <w:rPr>
          <w:rFonts w:ascii="Calibri" w:eastAsia="宋体" w:hAnsi="Calibri" w:cs="Times New Roman" w:hint="eastAsia"/>
          <w:szCs w:val="21"/>
        </w:rPr>
        <w:t>芯片的改善，因此产销表现也还是有希望</w:t>
      </w:r>
      <w:r>
        <w:rPr>
          <w:rFonts w:ascii="Calibri" w:eastAsia="宋体" w:hAnsi="Calibri" w:cs="Times New Roman" w:hint="eastAsia"/>
          <w:szCs w:val="21"/>
        </w:rPr>
        <w:t>在</w:t>
      </w:r>
      <w:r w:rsidR="00B02CC2">
        <w:rPr>
          <w:rFonts w:ascii="Calibri" w:eastAsia="宋体" w:hAnsi="Calibri" w:cs="Times New Roman" w:hint="eastAsia"/>
          <w:szCs w:val="21"/>
        </w:rPr>
        <w:t>月末相对恢复的。</w:t>
      </w:r>
    </w:p>
    <w:p w14:paraId="6ACD3B0C" w14:textId="77777777" w:rsidR="005F751E" w:rsidRPr="002009FE" w:rsidRDefault="005F751E" w:rsidP="005F751E">
      <w:pPr>
        <w:ind w:firstLineChars="202" w:firstLine="424"/>
        <w:rPr>
          <w:rFonts w:ascii="Calibri" w:eastAsia="宋体" w:hAnsi="Calibri" w:cs="Times New Roman"/>
          <w:szCs w:val="21"/>
        </w:rPr>
      </w:pPr>
    </w:p>
    <w:p w14:paraId="5E5F1C2A" w14:textId="77777777" w:rsidR="005F751E" w:rsidRPr="002009FE" w:rsidRDefault="005F751E" w:rsidP="005F751E">
      <w:pPr>
        <w:numPr>
          <w:ilvl w:val="0"/>
          <w:numId w:val="2"/>
        </w:numPr>
        <w:outlineLvl w:val="1"/>
        <w:rPr>
          <w:rFonts w:ascii="黑体" w:eastAsia="黑体" w:hAnsi="黑体" w:cs="Times New Roman"/>
          <w:bCs/>
          <w:sz w:val="24"/>
        </w:rPr>
      </w:pPr>
      <w:r w:rsidRPr="00B114CC">
        <w:rPr>
          <w:rFonts w:ascii="黑体" w:eastAsia="黑体" w:hAnsi="黑体" w:cs="Times New Roman"/>
          <w:bCs/>
          <w:sz w:val="24"/>
        </w:rPr>
        <w:t>21年上半年豪华车市场充满活力</w:t>
      </w:r>
    </w:p>
    <w:p w14:paraId="01C86B2D" w14:textId="335AF67E" w:rsidR="005F751E" w:rsidRPr="002009FE" w:rsidRDefault="005F751E" w:rsidP="00EB6671">
      <w:pPr>
        <w:ind w:firstLineChars="200" w:firstLine="420"/>
        <w:rPr>
          <w:rFonts w:asciiTheme="minorEastAsia" w:hAnsiTheme="minorEastAsia" w:cs="黑体"/>
          <w:bCs/>
          <w:szCs w:val="21"/>
        </w:rPr>
      </w:pPr>
      <w:r>
        <w:rPr>
          <w:rFonts w:asciiTheme="minorEastAsia" w:hAnsiTheme="minorEastAsia" w:cs="黑体" w:hint="eastAsia"/>
          <w:bCs/>
          <w:szCs w:val="21"/>
        </w:rPr>
        <w:t>今年</w:t>
      </w:r>
      <w:r w:rsidRPr="00B114CC">
        <w:rPr>
          <w:rFonts w:asciiTheme="minorEastAsia" w:hAnsiTheme="minorEastAsia" w:cs="黑体" w:hint="eastAsia"/>
          <w:bCs/>
          <w:szCs w:val="21"/>
        </w:rPr>
        <w:t>国产乘用车市场的豪华车表现</w:t>
      </w:r>
      <w:r>
        <w:rPr>
          <w:rFonts w:asciiTheme="minorEastAsia" w:hAnsiTheme="minorEastAsia" w:cs="黑体" w:hint="eastAsia"/>
          <w:bCs/>
          <w:szCs w:val="21"/>
        </w:rPr>
        <w:t>继续</w:t>
      </w:r>
      <w:r w:rsidRPr="00B114CC">
        <w:rPr>
          <w:rFonts w:asciiTheme="minorEastAsia" w:hAnsiTheme="minorEastAsia" w:cs="黑体" w:hint="eastAsia"/>
          <w:bCs/>
          <w:szCs w:val="21"/>
        </w:rPr>
        <w:t>超强，不仅新势力的新能源高端表现很强，而且传统燃油豪华车品牌也是强势增长，形成良好的消费升级效果</w:t>
      </w:r>
      <w:r w:rsidRPr="002009FE">
        <w:rPr>
          <w:rFonts w:asciiTheme="minorEastAsia" w:hAnsiTheme="minorEastAsia" w:cs="黑体" w:hint="eastAsia"/>
          <w:bCs/>
          <w:szCs w:val="21"/>
        </w:rPr>
        <w:t>。</w:t>
      </w:r>
    </w:p>
    <w:p w14:paraId="00C450C1" w14:textId="77777777" w:rsidR="005F751E" w:rsidRPr="00B114CC" w:rsidRDefault="005F751E" w:rsidP="005F751E">
      <w:pPr>
        <w:ind w:firstLineChars="202" w:firstLine="424"/>
        <w:rPr>
          <w:rFonts w:asciiTheme="minorEastAsia" w:hAnsiTheme="minorEastAsia" w:cs="黑体"/>
          <w:bCs/>
          <w:szCs w:val="21"/>
        </w:rPr>
      </w:pPr>
      <w:r w:rsidRPr="00B114CC">
        <w:rPr>
          <w:rFonts w:asciiTheme="minorEastAsia" w:hAnsiTheme="minorEastAsia" w:cs="黑体" w:hint="eastAsia"/>
          <w:bCs/>
          <w:szCs w:val="21"/>
        </w:rPr>
        <w:t>近几年豪华车市场呈现高增长态势，豪华车的占比快速的提升，尤其传统豪车跟新豪华车都呈现快速增长的态势。</w:t>
      </w:r>
    </w:p>
    <w:p w14:paraId="065AA076" w14:textId="34DD7C1E" w:rsidR="005F751E" w:rsidRDefault="005F751E" w:rsidP="005F751E">
      <w:pPr>
        <w:ind w:firstLineChars="202" w:firstLine="424"/>
        <w:rPr>
          <w:rFonts w:asciiTheme="minorEastAsia" w:hAnsiTheme="minorEastAsia" w:cs="黑体"/>
          <w:bCs/>
          <w:szCs w:val="21"/>
        </w:rPr>
      </w:pPr>
      <w:r w:rsidRPr="00B114CC">
        <w:rPr>
          <w:rFonts w:asciiTheme="minorEastAsia" w:hAnsiTheme="minorEastAsia" w:cs="黑体" w:hint="eastAsia"/>
          <w:bCs/>
          <w:szCs w:val="21"/>
        </w:rPr>
        <w:t>今年豪华车市场的增长</w:t>
      </w:r>
      <w:r w:rsidR="00EB6671">
        <w:rPr>
          <w:rFonts w:asciiTheme="minorEastAsia" w:hAnsiTheme="minorEastAsia" w:cs="黑体" w:hint="eastAsia"/>
          <w:bCs/>
          <w:szCs w:val="21"/>
        </w:rPr>
        <w:t>，</w:t>
      </w:r>
      <w:r>
        <w:rPr>
          <w:rFonts w:asciiTheme="minorEastAsia" w:hAnsiTheme="minorEastAsia" w:cs="黑体" w:hint="eastAsia"/>
          <w:bCs/>
          <w:szCs w:val="21"/>
        </w:rPr>
        <w:t>体现在</w:t>
      </w:r>
      <w:r w:rsidRPr="00B114CC">
        <w:rPr>
          <w:rFonts w:asciiTheme="minorEastAsia" w:hAnsiTheme="minorEastAsia" w:cs="黑体" w:hint="eastAsia"/>
          <w:bCs/>
          <w:szCs w:val="21"/>
        </w:rPr>
        <w:t>各类市场都获得良好表现，尤其大中城市和县乡市场上</w:t>
      </w:r>
      <w:r>
        <w:rPr>
          <w:rFonts w:asciiTheme="minorEastAsia" w:hAnsiTheme="minorEastAsia" w:cs="黑体" w:hint="eastAsia"/>
          <w:bCs/>
          <w:szCs w:val="21"/>
        </w:rPr>
        <w:t>的豪华车</w:t>
      </w:r>
      <w:r w:rsidRPr="00B114CC">
        <w:rPr>
          <w:rFonts w:asciiTheme="minorEastAsia" w:hAnsiTheme="minorEastAsia" w:cs="黑体" w:hint="eastAsia"/>
          <w:bCs/>
          <w:szCs w:val="21"/>
        </w:rPr>
        <w:t>表现都是相对比较强的，并没有出现结构性的分化特征。</w:t>
      </w:r>
    </w:p>
    <w:p w14:paraId="5DCA76A6" w14:textId="652FFB99" w:rsidR="005F751E" w:rsidRPr="00B114CC" w:rsidRDefault="005F751E" w:rsidP="005F751E">
      <w:pPr>
        <w:ind w:firstLineChars="202" w:firstLine="424"/>
        <w:rPr>
          <w:rFonts w:asciiTheme="minorEastAsia" w:hAnsiTheme="minorEastAsia" w:cs="黑体"/>
          <w:bCs/>
          <w:szCs w:val="21"/>
        </w:rPr>
      </w:pPr>
      <w:r>
        <w:rPr>
          <w:rFonts w:asciiTheme="minorEastAsia" w:hAnsiTheme="minorEastAsia" w:cs="黑体" w:hint="eastAsia"/>
          <w:bCs/>
          <w:szCs w:val="21"/>
        </w:rPr>
        <w:t>限购城市的传统豪华车</w:t>
      </w:r>
      <w:r w:rsidR="00EB6671">
        <w:rPr>
          <w:rFonts w:asciiTheme="minorEastAsia" w:hAnsiTheme="minorEastAsia" w:cs="黑体" w:hint="eastAsia"/>
          <w:bCs/>
          <w:szCs w:val="21"/>
        </w:rPr>
        <w:t>总量也是</w:t>
      </w:r>
      <w:r>
        <w:rPr>
          <w:rFonts w:asciiTheme="minorEastAsia" w:hAnsiTheme="minorEastAsia" w:cs="黑体" w:hint="eastAsia"/>
          <w:bCs/>
          <w:szCs w:val="21"/>
        </w:rPr>
        <w:t>持续增长中，与新能源车共同推动限购城市的高增长。</w:t>
      </w:r>
    </w:p>
    <w:p w14:paraId="43A4800D" w14:textId="7CD3FB4A" w:rsidR="005F751E" w:rsidRPr="002009FE" w:rsidRDefault="005F751E" w:rsidP="005F751E">
      <w:pPr>
        <w:ind w:firstLineChars="202" w:firstLine="424"/>
        <w:rPr>
          <w:rFonts w:ascii="Calibri" w:eastAsia="宋体" w:hAnsi="Calibri" w:cs="宋体"/>
          <w:szCs w:val="21"/>
        </w:rPr>
      </w:pPr>
    </w:p>
    <w:p w14:paraId="18D13EED" w14:textId="77777777" w:rsidR="005F751E" w:rsidRPr="002009FE" w:rsidRDefault="005F751E" w:rsidP="005F751E">
      <w:pPr>
        <w:numPr>
          <w:ilvl w:val="0"/>
          <w:numId w:val="2"/>
        </w:numPr>
        <w:outlineLvl w:val="1"/>
        <w:rPr>
          <w:rFonts w:ascii="黑体" w:eastAsia="黑体" w:hAnsi="黑体" w:cs="黑体"/>
          <w:bCs/>
          <w:sz w:val="24"/>
        </w:rPr>
      </w:pPr>
      <w:r w:rsidRPr="00B114CC">
        <w:rPr>
          <w:rFonts w:ascii="黑体" w:eastAsia="黑体" w:hAnsi="黑体" w:cs="黑体" w:hint="eastAsia"/>
          <w:bCs/>
          <w:sz w:val="24"/>
        </w:rPr>
        <w:t>新能源车成为中国自主品牌</w:t>
      </w:r>
      <w:r>
        <w:rPr>
          <w:rFonts w:ascii="黑体" w:eastAsia="黑体" w:hAnsi="黑体" w:cs="黑体" w:hint="eastAsia"/>
          <w:bCs/>
          <w:sz w:val="24"/>
        </w:rPr>
        <w:t>走强</w:t>
      </w:r>
      <w:r w:rsidRPr="00B114CC">
        <w:rPr>
          <w:rFonts w:ascii="黑体" w:eastAsia="黑体" w:hAnsi="黑体" w:cs="黑体" w:hint="eastAsia"/>
          <w:bCs/>
          <w:sz w:val="24"/>
        </w:rPr>
        <w:t>的急先锋</w:t>
      </w:r>
    </w:p>
    <w:p w14:paraId="2E67D986" w14:textId="77777777" w:rsidR="005F751E" w:rsidRDefault="005F751E" w:rsidP="005F751E">
      <w:pPr>
        <w:ind w:firstLineChars="202" w:firstLine="424"/>
        <w:rPr>
          <w:rFonts w:asciiTheme="minorEastAsia" w:hAnsiTheme="minorEastAsia" w:cs="黑体"/>
          <w:bCs/>
          <w:szCs w:val="21"/>
        </w:rPr>
      </w:pPr>
      <w:r w:rsidRPr="00B114CC">
        <w:rPr>
          <w:rFonts w:asciiTheme="minorEastAsia" w:hAnsiTheme="minorEastAsia" w:cs="黑体" w:hint="eastAsia"/>
          <w:bCs/>
          <w:szCs w:val="21"/>
        </w:rPr>
        <w:t>中国车市占到世界汽车市场份额</w:t>
      </w:r>
      <w:r w:rsidRPr="00B114CC">
        <w:rPr>
          <w:rFonts w:asciiTheme="minorEastAsia" w:hAnsiTheme="minorEastAsia" w:cs="黑体"/>
          <w:bCs/>
          <w:szCs w:val="21"/>
        </w:rPr>
        <w:t>30%，是世界汽车市场的重要组成。而中国</w:t>
      </w:r>
      <w:r>
        <w:rPr>
          <w:rFonts w:asciiTheme="minorEastAsia" w:hAnsiTheme="minorEastAsia" w:cs="黑体" w:hint="eastAsia"/>
          <w:bCs/>
          <w:szCs w:val="21"/>
        </w:rPr>
        <w:t>国内</w:t>
      </w:r>
      <w:r w:rsidRPr="00B114CC">
        <w:rPr>
          <w:rFonts w:asciiTheme="minorEastAsia" w:hAnsiTheme="minorEastAsia" w:cs="黑体"/>
          <w:bCs/>
          <w:szCs w:val="21"/>
        </w:rPr>
        <w:t>乘用车的自主品牌仍是属于在相对偏小40%左右份额</w:t>
      </w:r>
      <w:r>
        <w:rPr>
          <w:rFonts w:asciiTheme="minorEastAsia" w:hAnsiTheme="minorEastAsia" w:cs="黑体" w:hint="eastAsia"/>
          <w:bCs/>
          <w:szCs w:val="21"/>
        </w:rPr>
        <w:t>。目前</w:t>
      </w:r>
      <w:r w:rsidRPr="00B114CC">
        <w:rPr>
          <w:rFonts w:asciiTheme="minorEastAsia" w:hAnsiTheme="minorEastAsia" w:cs="黑体"/>
          <w:bCs/>
          <w:szCs w:val="21"/>
        </w:rPr>
        <w:t>合资品牌是中国乘用车市场的主力，随着自主品牌在新能源车的快速发力，新能源车品牌提升了自主品牌的竞争力，而且在核心市场实现了有效的突破。</w:t>
      </w:r>
    </w:p>
    <w:p w14:paraId="6110B1D5" w14:textId="77777777" w:rsidR="005F751E" w:rsidRDefault="005F751E" w:rsidP="005F751E">
      <w:pPr>
        <w:ind w:firstLineChars="202" w:firstLine="424"/>
        <w:rPr>
          <w:rFonts w:asciiTheme="minorEastAsia" w:hAnsiTheme="minorEastAsia" w:cs="黑体"/>
          <w:bCs/>
          <w:szCs w:val="21"/>
        </w:rPr>
      </w:pPr>
      <w:r>
        <w:rPr>
          <w:rFonts w:asciiTheme="minorEastAsia" w:hAnsiTheme="minorEastAsia" w:cs="黑体" w:hint="eastAsia"/>
          <w:bCs/>
          <w:szCs w:val="21"/>
        </w:rPr>
        <w:t>自主品牌</w:t>
      </w:r>
      <w:r w:rsidRPr="00B114CC">
        <w:rPr>
          <w:rFonts w:asciiTheme="minorEastAsia" w:hAnsiTheme="minorEastAsia" w:cs="黑体"/>
          <w:bCs/>
          <w:szCs w:val="21"/>
        </w:rPr>
        <w:t>同时在出口市场也取得了巨大的成就，</w:t>
      </w:r>
      <w:r>
        <w:rPr>
          <w:rFonts w:asciiTheme="minorEastAsia" w:hAnsiTheme="minorEastAsia" w:cs="黑体" w:hint="eastAsia"/>
          <w:bCs/>
          <w:szCs w:val="21"/>
        </w:rPr>
        <w:t>新能源出口也表现很好，</w:t>
      </w:r>
      <w:r w:rsidRPr="00B114CC">
        <w:rPr>
          <w:rFonts w:asciiTheme="minorEastAsia" w:hAnsiTheme="minorEastAsia" w:cs="黑体"/>
          <w:bCs/>
          <w:szCs w:val="21"/>
        </w:rPr>
        <w:t>因此新能源车将成为自主品牌反攻的急先锋</w:t>
      </w:r>
      <w:r>
        <w:rPr>
          <w:rFonts w:asciiTheme="minorEastAsia" w:hAnsiTheme="minorEastAsia" w:cs="黑体" w:hint="eastAsia"/>
          <w:bCs/>
          <w:szCs w:val="21"/>
        </w:rPr>
        <w:t>。</w:t>
      </w:r>
    </w:p>
    <w:p w14:paraId="58833582" w14:textId="0310516E" w:rsidR="005F751E" w:rsidRPr="00B114CC" w:rsidRDefault="005F751E" w:rsidP="005F751E">
      <w:pPr>
        <w:ind w:firstLineChars="202" w:firstLine="424"/>
        <w:rPr>
          <w:rFonts w:asciiTheme="minorEastAsia" w:hAnsiTheme="minorEastAsia" w:cs="黑体"/>
          <w:bCs/>
          <w:szCs w:val="21"/>
        </w:rPr>
      </w:pPr>
      <w:r w:rsidRPr="00B114CC">
        <w:rPr>
          <w:rFonts w:asciiTheme="minorEastAsia" w:hAnsiTheme="minorEastAsia" w:cs="黑体"/>
          <w:bCs/>
          <w:szCs w:val="21"/>
        </w:rPr>
        <w:t>只要我们做好新能源车的产品提升，还有配套体系的建设，中国电动化的进程将推动中国自主品牌实现</w:t>
      </w:r>
      <w:r>
        <w:rPr>
          <w:rFonts w:asciiTheme="minorEastAsia" w:hAnsiTheme="minorEastAsia" w:cs="黑体" w:hint="eastAsia"/>
          <w:bCs/>
          <w:szCs w:val="21"/>
        </w:rPr>
        <w:t>回升</w:t>
      </w:r>
      <w:r w:rsidRPr="00B114CC">
        <w:rPr>
          <w:rFonts w:asciiTheme="minorEastAsia" w:hAnsiTheme="minorEastAsia" w:cs="黑体"/>
          <w:bCs/>
          <w:szCs w:val="21"/>
        </w:rPr>
        <w:t>，实现自主品牌占据世界汽车核心地位的新梦想</w:t>
      </w:r>
      <w:r w:rsidRPr="00B114CC">
        <w:rPr>
          <w:rFonts w:asciiTheme="minorEastAsia" w:hAnsiTheme="minorEastAsia" w:cs="黑体" w:hint="eastAsia"/>
          <w:bCs/>
          <w:szCs w:val="21"/>
        </w:rPr>
        <w:t>。</w:t>
      </w:r>
    </w:p>
    <w:p w14:paraId="28A06373" w14:textId="77777777" w:rsidR="007B6EB6" w:rsidRPr="00B02CC2" w:rsidRDefault="007B6EB6" w:rsidP="007B6EB6">
      <w:pPr>
        <w:ind w:firstLineChars="135" w:firstLine="283"/>
        <w:rPr>
          <w:rFonts w:ascii="Calibri" w:eastAsia="宋体" w:hAnsi="Calibri" w:cs="Times New Roman"/>
          <w:szCs w:val="21"/>
        </w:rPr>
      </w:pPr>
    </w:p>
    <w:p w14:paraId="2C13FADC" w14:textId="19A563A1" w:rsidR="007B6EB6" w:rsidRPr="002009FE" w:rsidRDefault="00B114CC" w:rsidP="007B6EB6">
      <w:pPr>
        <w:numPr>
          <w:ilvl w:val="0"/>
          <w:numId w:val="2"/>
        </w:numPr>
        <w:outlineLvl w:val="1"/>
        <w:rPr>
          <w:rFonts w:ascii="黑体" w:eastAsia="黑体" w:hAnsi="黑体" w:cs="Times New Roman"/>
          <w:b/>
          <w:bCs/>
          <w:sz w:val="24"/>
        </w:rPr>
      </w:pPr>
      <w:r w:rsidRPr="00B114CC">
        <w:rPr>
          <w:rFonts w:ascii="黑体" w:eastAsia="黑体" w:hAnsi="黑体" w:cs="Times New Roman"/>
          <w:b/>
          <w:bCs/>
          <w:sz w:val="24"/>
        </w:rPr>
        <w:t>21年5月锂电池980万度，磷酸铁锂达到34%</w:t>
      </w:r>
    </w:p>
    <w:p w14:paraId="2A0F9CBB" w14:textId="24109146" w:rsidR="005F751E" w:rsidRDefault="00B114CC" w:rsidP="00B114CC">
      <w:pPr>
        <w:ind w:firstLineChars="202" w:firstLine="424"/>
        <w:rPr>
          <w:rFonts w:ascii="Calibri" w:eastAsia="宋体" w:hAnsi="Calibri" w:cs="宋体"/>
          <w:szCs w:val="21"/>
        </w:rPr>
      </w:pPr>
      <w:r w:rsidRPr="00B114CC">
        <w:rPr>
          <w:rFonts w:ascii="Calibri" w:eastAsia="宋体" w:hAnsi="Calibri" w:cs="宋体"/>
          <w:szCs w:val="21"/>
        </w:rPr>
        <w:t>5</w:t>
      </w:r>
      <w:r w:rsidRPr="00B114CC">
        <w:rPr>
          <w:rFonts w:ascii="Calibri" w:eastAsia="宋体" w:hAnsi="Calibri" w:cs="宋体"/>
          <w:szCs w:val="21"/>
        </w:rPr>
        <w:t>月新能源汽车产量</w:t>
      </w:r>
      <w:r w:rsidRPr="00B114CC">
        <w:rPr>
          <w:rFonts w:ascii="Calibri" w:eastAsia="宋体" w:hAnsi="Calibri" w:cs="宋体"/>
          <w:szCs w:val="21"/>
        </w:rPr>
        <w:t>20.2</w:t>
      </w:r>
      <w:r w:rsidR="00EB0764">
        <w:rPr>
          <w:rFonts w:ascii="Calibri" w:eastAsia="宋体" w:hAnsi="Calibri" w:cs="宋体"/>
          <w:szCs w:val="21"/>
        </w:rPr>
        <w:t>万辆</w:t>
      </w:r>
      <w:r w:rsidRPr="00B114CC">
        <w:rPr>
          <w:rFonts w:ascii="Calibri" w:eastAsia="宋体" w:hAnsi="Calibri" w:cs="宋体"/>
          <w:szCs w:val="21"/>
        </w:rPr>
        <w:t>，同比增长</w:t>
      </w:r>
      <w:r w:rsidRPr="00B114CC">
        <w:rPr>
          <w:rFonts w:ascii="Calibri" w:eastAsia="宋体" w:hAnsi="Calibri" w:cs="宋体"/>
          <w:szCs w:val="21"/>
        </w:rPr>
        <w:t>169%</w:t>
      </w:r>
      <w:r w:rsidRPr="00B114CC">
        <w:rPr>
          <w:rFonts w:ascii="Calibri" w:eastAsia="宋体" w:hAnsi="Calibri" w:cs="宋体"/>
          <w:szCs w:val="21"/>
        </w:rPr>
        <w:t>；电池装机总电量约</w:t>
      </w:r>
      <w:r w:rsidRPr="00B114CC">
        <w:rPr>
          <w:rFonts w:ascii="Calibri" w:eastAsia="宋体" w:hAnsi="Calibri" w:cs="宋体"/>
          <w:szCs w:val="21"/>
        </w:rPr>
        <w:t>980</w:t>
      </w:r>
      <w:r w:rsidRPr="00B114CC">
        <w:rPr>
          <w:rFonts w:ascii="Calibri" w:eastAsia="宋体" w:hAnsi="Calibri" w:cs="宋体"/>
          <w:szCs w:val="21"/>
        </w:rPr>
        <w:t>万度，同比增长</w:t>
      </w:r>
      <w:r w:rsidRPr="00B114CC">
        <w:rPr>
          <w:rFonts w:ascii="Calibri" w:eastAsia="宋体" w:hAnsi="Calibri" w:cs="宋体"/>
          <w:szCs w:val="21"/>
        </w:rPr>
        <w:t>179%</w:t>
      </w:r>
      <w:r w:rsidRPr="00B114CC">
        <w:rPr>
          <w:rFonts w:ascii="Calibri" w:eastAsia="宋体" w:hAnsi="Calibri" w:cs="宋体"/>
          <w:szCs w:val="21"/>
        </w:rPr>
        <w:t>。</w:t>
      </w:r>
      <w:r w:rsidRPr="00B114CC">
        <w:rPr>
          <w:rFonts w:ascii="Calibri" w:eastAsia="宋体" w:hAnsi="Calibri" w:cs="宋体"/>
          <w:szCs w:val="21"/>
        </w:rPr>
        <w:t>21</w:t>
      </w:r>
      <w:r w:rsidRPr="00B114CC">
        <w:rPr>
          <w:rFonts w:ascii="Calibri" w:eastAsia="宋体" w:hAnsi="Calibri" w:cs="宋体"/>
          <w:szCs w:val="21"/>
        </w:rPr>
        <w:t>年</w:t>
      </w:r>
      <w:r w:rsidRPr="00B114CC">
        <w:rPr>
          <w:rFonts w:ascii="Calibri" w:eastAsia="宋体" w:hAnsi="Calibri" w:cs="宋体"/>
          <w:szCs w:val="21"/>
        </w:rPr>
        <w:t>1-5</w:t>
      </w:r>
      <w:r w:rsidRPr="00B114CC">
        <w:rPr>
          <w:rFonts w:ascii="Calibri" w:eastAsia="宋体" w:hAnsi="Calibri" w:cs="宋体"/>
          <w:szCs w:val="21"/>
        </w:rPr>
        <w:t>月的乘用车电池需求</w:t>
      </w:r>
      <w:r w:rsidRPr="00B114CC">
        <w:rPr>
          <w:rFonts w:ascii="Calibri" w:eastAsia="宋体" w:hAnsi="Calibri" w:cs="宋体"/>
          <w:szCs w:val="21"/>
        </w:rPr>
        <w:t>4064</w:t>
      </w:r>
      <w:r w:rsidRPr="00B114CC">
        <w:rPr>
          <w:rFonts w:ascii="Calibri" w:eastAsia="宋体" w:hAnsi="Calibri" w:cs="宋体"/>
          <w:szCs w:val="21"/>
        </w:rPr>
        <w:t>万度，同比增长</w:t>
      </w:r>
      <w:r w:rsidRPr="00B114CC">
        <w:rPr>
          <w:rFonts w:ascii="Calibri" w:eastAsia="宋体" w:hAnsi="Calibri" w:cs="宋体"/>
          <w:szCs w:val="21"/>
        </w:rPr>
        <w:t>217%</w:t>
      </w:r>
      <w:r w:rsidRPr="00B114CC">
        <w:rPr>
          <w:rFonts w:ascii="Calibri" w:eastAsia="宋体" w:hAnsi="Calibri" w:cs="宋体"/>
          <w:szCs w:val="21"/>
        </w:rPr>
        <w:t>。</w:t>
      </w:r>
      <w:r w:rsidRPr="00B114CC">
        <w:rPr>
          <w:rFonts w:ascii="Calibri" w:eastAsia="宋体" w:hAnsi="Calibri" w:cs="宋体"/>
          <w:szCs w:val="21"/>
        </w:rPr>
        <w:t>20</w:t>
      </w:r>
      <w:r w:rsidRPr="00B114CC">
        <w:rPr>
          <w:rFonts w:ascii="Calibri" w:eastAsia="宋体" w:hAnsi="Calibri" w:cs="宋体"/>
          <w:szCs w:val="21"/>
        </w:rPr>
        <w:t>年</w:t>
      </w:r>
      <w:r w:rsidRPr="00B114CC">
        <w:rPr>
          <w:rFonts w:ascii="Calibri" w:eastAsia="宋体" w:hAnsi="Calibri" w:cs="宋体"/>
          <w:szCs w:val="21"/>
        </w:rPr>
        <w:t>1-12</w:t>
      </w:r>
      <w:r w:rsidRPr="00B114CC">
        <w:rPr>
          <w:rFonts w:ascii="Calibri" w:eastAsia="宋体" w:hAnsi="Calibri" w:cs="宋体"/>
          <w:szCs w:val="21"/>
        </w:rPr>
        <w:t>月的乘用车电池需求</w:t>
      </w:r>
      <w:r w:rsidRPr="00B114CC">
        <w:rPr>
          <w:rFonts w:ascii="Calibri" w:eastAsia="宋体" w:hAnsi="Calibri" w:cs="宋体"/>
          <w:szCs w:val="21"/>
        </w:rPr>
        <w:t>6405</w:t>
      </w:r>
      <w:r w:rsidRPr="00B114CC">
        <w:rPr>
          <w:rFonts w:ascii="Calibri" w:eastAsia="宋体" w:hAnsi="Calibri" w:cs="宋体"/>
          <w:szCs w:val="21"/>
        </w:rPr>
        <w:t>万度，同比增长</w:t>
      </w:r>
      <w:r w:rsidRPr="00B114CC">
        <w:rPr>
          <w:rFonts w:ascii="Calibri" w:eastAsia="宋体" w:hAnsi="Calibri" w:cs="宋体"/>
          <w:szCs w:val="21"/>
        </w:rPr>
        <w:t>2%</w:t>
      </w:r>
      <w:r w:rsidRPr="00B114CC">
        <w:rPr>
          <w:rFonts w:ascii="Calibri" w:eastAsia="宋体" w:hAnsi="Calibri" w:cs="宋体"/>
          <w:szCs w:val="21"/>
        </w:rPr>
        <w:t>，表现逐步改善。</w:t>
      </w:r>
    </w:p>
    <w:p w14:paraId="4B8DDD3D" w14:textId="6370C071" w:rsidR="005F751E" w:rsidRDefault="00B114CC" w:rsidP="00B114CC">
      <w:pPr>
        <w:ind w:firstLineChars="202" w:firstLine="424"/>
        <w:rPr>
          <w:rFonts w:ascii="Calibri" w:eastAsia="宋体" w:hAnsi="Calibri" w:cs="宋体"/>
          <w:szCs w:val="21"/>
        </w:rPr>
      </w:pPr>
      <w:r w:rsidRPr="00B114CC">
        <w:rPr>
          <w:rFonts w:ascii="Calibri" w:eastAsia="宋体" w:hAnsi="Calibri" w:cs="宋体"/>
          <w:szCs w:val="21"/>
        </w:rPr>
        <w:t>虽然</w:t>
      </w:r>
      <w:r w:rsidR="005F751E">
        <w:rPr>
          <w:rFonts w:ascii="Calibri" w:eastAsia="宋体" w:hAnsi="Calibri" w:cs="宋体" w:hint="eastAsia"/>
          <w:szCs w:val="21"/>
        </w:rPr>
        <w:t>未来锂电池能量密度提升</w:t>
      </w:r>
      <w:r w:rsidRPr="00B114CC">
        <w:rPr>
          <w:rFonts w:ascii="Calibri" w:eastAsia="宋体" w:hAnsi="Calibri" w:cs="宋体"/>
          <w:szCs w:val="21"/>
        </w:rPr>
        <w:t>仍是趋势，但</w:t>
      </w:r>
      <w:r w:rsidRPr="00B114CC">
        <w:rPr>
          <w:rFonts w:ascii="Calibri" w:eastAsia="宋体" w:hAnsi="Calibri" w:cs="宋体"/>
          <w:szCs w:val="21"/>
        </w:rPr>
        <w:t>21</w:t>
      </w:r>
      <w:r w:rsidRPr="00B114CC">
        <w:rPr>
          <w:rFonts w:ascii="Calibri" w:eastAsia="宋体" w:hAnsi="Calibri" w:cs="宋体"/>
          <w:szCs w:val="21"/>
        </w:rPr>
        <w:t>年</w:t>
      </w:r>
      <w:r w:rsidRPr="00B114CC">
        <w:rPr>
          <w:rFonts w:ascii="Calibri" w:eastAsia="宋体" w:hAnsi="Calibri" w:cs="宋体"/>
          <w:szCs w:val="21"/>
        </w:rPr>
        <w:t>5</w:t>
      </w:r>
      <w:r w:rsidRPr="00B114CC">
        <w:rPr>
          <w:rFonts w:ascii="Calibri" w:eastAsia="宋体" w:hAnsi="Calibri" w:cs="宋体"/>
          <w:szCs w:val="21"/>
        </w:rPr>
        <w:t>月的三元电池占比达到</w:t>
      </w:r>
      <w:r w:rsidRPr="00B114CC">
        <w:rPr>
          <w:rFonts w:ascii="Calibri" w:eastAsia="宋体" w:hAnsi="Calibri" w:cs="宋体"/>
          <w:szCs w:val="21"/>
        </w:rPr>
        <w:t>64%</w:t>
      </w:r>
      <w:r w:rsidRPr="00B114CC">
        <w:rPr>
          <w:rFonts w:ascii="Calibri" w:eastAsia="宋体" w:hAnsi="Calibri" w:cs="宋体"/>
          <w:szCs w:val="21"/>
        </w:rPr>
        <w:t>，磷酸铁锂恢复至</w:t>
      </w:r>
      <w:r w:rsidRPr="00B114CC">
        <w:rPr>
          <w:rFonts w:ascii="Calibri" w:eastAsia="宋体" w:hAnsi="Calibri" w:cs="宋体"/>
          <w:szCs w:val="21"/>
        </w:rPr>
        <w:t>35%</w:t>
      </w:r>
      <w:r w:rsidRPr="00B114CC">
        <w:rPr>
          <w:rFonts w:ascii="Calibri" w:eastAsia="宋体" w:hAnsi="Calibri" w:cs="宋体"/>
          <w:szCs w:val="21"/>
        </w:rPr>
        <w:t>，总体</w:t>
      </w:r>
      <w:r w:rsidR="005F751E">
        <w:rPr>
          <w:rFonts w:ascii="Calibri" w:eastAsia="宋体" w:hAnsi="Calibri" w:cs="宋体" w:hint="eastAsia"/>
          <w:szCs w:val="21"/>
        </w:rPr>
        <w:t>电池结构</w:t>
      </w:r>
      <w:r w:rsidRPr="00B114CC">
        <w:rPr>
          <w:rFonts w:ascii="Calibri" w:eastAsia="宋体" w:hAnsi="Calibri" w:cs="宋体"/>
          <w:szCs w:val="21"/>
        </w:rPr>
        <w:t>稳定。</w:t>
      </w:r>
      <w:r w:rsidR="005F751E">
        <w:rPr>
          <w:rFonts w:ascii="Calibri" w:eastAsia="宋体" w:hAnsi="Calibri" w:cs="宋体" w:hint="eastAsia"/>
          <w:szCs w:val="21"/>
        </w:rPr>
        <w:t>随着电池需求的持续增长，带来供需压力加大，主力电池企业的份额也有所下降。</w:t>
      </w:r>
    </w:p>
    <w:p w14:paraId="779396D3" w14:textId="0BC577E3" w:rsidR="005F751E" w:rsidRDefault="005F751E" w:rsidP="00B114CC">
      <w:pPr>
        <w:ind w:firstLineChars="202" w:firstLine="424"/>
        <w:rPr>
          <w:rFonts w:ascii="Calibri" w:eastAsia="宋体" w:hAnsi="Calibri" w:cs="宋体"/>
          <w:szCs w:val="21"/>
        </w:rPr>
      </w:pPr>
      <w:r>
        <w:rPr>
          <w:rFonts w:ascii="Calibri" w:eastAsia="宋体" w:hAnsi="Calibri" w:cs="宋体" w:hint="eastAsia"/>
          <w:szCs w:val="21"/>
        </w:rPr>
        <w:t>由于持续的电池需求旺盛，产业链补库存的速度偏慢，也导致电池供应紧张，不利于未来的新能源车加速增长。</w:t>
      </w:r>
    </w:p>
    <w:p w14:paraId="3AE26600" w14:textId="77777777" w:rsidR="007B6EB6" w:rsidRPr="00066AF4" w:rsidRDefault="007B6EB6" w:rsidP="007B6EB6">
      <w:pPr>
        <w:rPr>
          <w:rFonts w:asciiTheme="minorEastAsia" w:hAnsiTheme="minorEastAsia" w:cs="黑体"/>
          <w:bCs/>
          <w:szCs w:val="21"/>
        </w:rPr>
      </w:pPr>
    </w:p>
    <w:p w14:paraId="1A6FF002" w14:textId="77777777" w:rsidR="007B6EB6" w:rsidRPr="00044A32" w:rsidRDefault="007B6EB6" w:rsidP="007B6EB6">
      <w:pPr>
        <w:outlineLvl w:val="0"/>
        <w:rPr>
          <w:b/>
        </w:rPr>
      </w:pPr>
      <w:r w:rsidRPr="00044A32">
        <w:rPr>
          <w:rFonts w:hint="eastAsia"/>
          <w:b/>
        </w:rPr>
        <w:t>二、</w:t>
      </w:r>
      <w:r w:rsidRPr="00044A32">
        <w:rPr>
          <w:rFonts w:cs="宋体" w:hint="eastAsia"/>
          <w:b/>
          <w:bCs/>
        </w:rPr>
        <w:t>本周上市新车</w:t>
      </w:r>
    </w:p>
    <w:p w14:paraId="5729990E" w14:textId="77777777" w:rsidR="00734405" w:rsidRPr="00D4446B" w:rsidRDefault="00734405" w:rsidP="007B6EB6">
      <w:pPr>
        <w:pStyle w:val="a8"/>
        <w:numPr>
          <w:ilvl w:val="0"/>
          <w:numId w:val="6"/>
        </w:numPr>
        <w:ind w:firstLineChars="0"/>
        <w:outlineLvl w:val="1"/>
        <w:rPr>
          <w:b/>
        </w:rPr>
      </w:pPr>
      <w:r w:rsidRPr="00D4446B">
        <w:rPr>
          <w:b/>
        </w:rPr>
        <w:t>吉利星越S</w:t>
      </w:r>
    </w:p>
    <w:tbl>
      <w:tblPr>
        <w:tblW w:w="3114" w:type="dxa"/>
        <w:tblCellSpacing w:w="15" w:type="dxa"/>
        <w:tblCellMar>
          <w:top w:w="15" w:type="dxa"/>
          <w:left w:w="15" w:type="dxa"/>
          <w:bottom w:w="15" w:type="dxa"/>
          <w:right w:w="15" w:type="dxa"/>
        </w:tblCellMar>
        <w:tblLook w:val="04A0" w:firstRow="1" w:lastRow="0" w:firstColumn="1" w:lastColumn="0" w:noHBand="0" w:noVBand="1"/>
      </w:tblPr>
      <w:tblGrid>
        <w:gridCol w:w="81"/>
        <w:gridCol w:w="2951"/>
        <w:gridCol w:w="82"/>
      </w:tblGrid>
      <w:tr w:rsidR="00734405" w:rsidRPr="00BA47FD" w14:paraId="333B8FA8" w14:textId="77777777" w:rsidTr="008B692A">
        <w:trPr>
          <w:trHeight w:val="1796"/>
          <w:tblCellSpacing w:w="15" w:type="dxa"/>
        </w:trPr>
        <w:tc>
          <w:tcPr>
            <w:tcW w:w="0" w:type="auto"/>
            <w:tcBorders>
              <w:top w:val="nil"/>
              <w:left w:val="nil"/>
              <w:bottom w:val="nil"/>
              <w:right w:val="nil"/>
            </w:tcBorders>
            <w:hideMark/>
          </w:tcPr>
          <w:p w14:paraId="71E18F7D" w14:textId="77777777" w:rsidR="00734405" w:rsidRPr="00BA47FD" w:rsidRDefault="00734405" w:rsidP="00FD6575">
            <w:pPr>
              <w:widowControl/>
              <w:jc w:val="left"/>
              <w:rPr>
                <w:rFonts w:ascii="宋体" w:eastAsia="宋体" w:hAnsi="宋体" w:cs="宋体"/>
                <w:kern w:val="0"/>
                <w:sz w:val="24"/>
              </w:rPr>
            </w:pPr>
          </w:p>
        </w:tc>
        <w:tc>
          <w:tcPr>
            <w:tcW w:w="0" w:type="auto"/>
            <w:tcBorders>
              <w:top w:val="nil"/>
              <w:left w:val="nil"/>
              <w:bottom w:val="nil"/>
              <w:right w:val="nil"/>
            </w:tcBorders>
            <w:hideMark/>
          </w:tcPr>
          <w:p w14:paraId="754AB3B4" w14:textId="77777777" w:rsidR="00734405" w:rsidRPr="00BA47FD" w:rsidRDefault="00734405" w:rsidP="00FD6575">
            <w:pPr>
              <w:widowControl/>
              <w:jc w:val="left"/>
              <w:rPr>
                <w:rFonts w:ascii="微软雅黑" w:eastAsia="微软雅黑" w:hAnsi="微软雅黑" w:cs="宋体"/>
                <w:color w:val="000000"/>
                <w:kern w:val="0"/>
                <w:sz w:val="27"/>
                <w:szCs w:val="27"/>
              </w:rPr>
            </w:pPr>
            <w:r w:rsidRPr="00BA47FD">
              <w:rPr>
                <w:rFonts w:ascii="微软雅黑" w:eastAsia="微软雅黑" w:hAnsi="微软雅黑" w:cs="宋体"/>
                <w:noProof/>
                <w:color w:val="000000"/>
                <w:kern w:val="0"/>
                <w:sz w:val="27"/>
                <w:szCs w:val="27"/>
              </w:rPr>
              <w:drawing>
                <wp:inline distT="0" distB="0" distL="0" distR="0" wp14:anchorId="39C4D732" wp14:editId="4F9EA4ED">
                  <wp:extent cx="1800000" cy="981818"/>
                  <wp:effectExtent l="0" t="0" r="0" b="8890"/>
                  <wp:docPr id="11" name="图片 11" descr="http://58.246.65.10:8231/UploadFile/2021071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21071201.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800000" cy="981818"/>
                          </a:xfrm>
                          <a:prstGeom prst="rect">
                            <a:avLst/>
                          </a:prstGeom>
                          <a:noFill/>
                          <a:ln>
                            <a:noFill/>
                          </a:ln>
                        </pic:spPr>
                      </pic:pic>
                    </a:graphicData>
                  </a:graphic>
                </wp:inline>
              </w:drawing>
            </w:r>
          </w:p>
        </w:tc>
        <w:tc>
          <w:tcPr>
            <w:tcW w:w="0" w:type="auto"/>
            <w:tcBorders>
              <w:top w:val="nil"/>
              <w:left w:val="nil"/>
              <w:bottom w:val="nil"/>
              <w:right w:val="nil"/>
            </w:tcBorders>
            <w:hideMark/>
          </w:tcPr>
          <w:p w14:paraId="4DDD05FD" w14:textId="77777777" w:rsidR="00734405" w:rsidRPr="00BA47FD" w:rsidRDefault="00734405" w:rsidP="00FD6575">
            <w:pPr>
              <w:widowControl/>
              <w:jc w:val="left"/>
              <w:rPr>
                <w:rFonts w:ascii="微软雅黑" w:eastAsia="微软雅黑" w:hAnsi="微软雅黑" w:cs="宋体"/>
                <w:color w:val="000000"/>
                <w:kern w:val="0"/>
                <w:sz w:val="27"/>
                <w:szCs w:val="27"/>
              </w:rPr>
            </w:pPr>
          </w:p>
        </w:tc>
      </w:tr>
    </w:tbl>
    <w:p w14:paraId="0F02E438" w14:textId="77777777" w:rsidR="00734405" w:rsidRDefault="00734405" w:rsidP="007B6EB6">
      <w:r>
        <w:t>7月10日，吉利星越S上市，新车共推4款，售价区间为13.57万-17.17万元。</w:t>
      </w:r>
    </w:p>
    <w:p w14:paraId="7CF9F70E" w14:textId="77777777" w:rsidR="00734405" w:rsidRDefault="00734405" w:rsidP="007B6EB6">
      <w:r>
        <w:rPr>
          <w:rFonts w:hint="eastAsia"/>
        </w:rPr>
        <w:t>外观方面，新车采用窄幅式多边形前格栅、三段式进气口、鸭尾式扰流板。</w:t>
      </w:r>
    </w:p>
    <w:p w14:paraId="1C87D591" w14:textId="77777777" w:rsidR="00734405" w:rsidRDefault="00734405" w:rsidP="007B6EB6">
      <w:r>
        <w:rPr>
          <w:rFonts w:hint="eastAsia"/>
        </w:rPr>
        <w:t>内饰方面，新车采用“星际驾感机舱”设计理念，大面积纯黑底色点缀电光绿。</w:t>
      </w:r>
    </w:p>
    <w:p w14:paraId="2218CA5C" w14:textId="77777777" w:rsidR="00734405" w:rsidRDefault="00734405" w:rsidP="007B6EB6">
      <w:r>
        <w:rPr>
          <w:rFonts w:hint="eastAsia"/>
        </w:rPr>
        <w:t>配置方面，新车配备</w:t>
      </w:r>
      <w:r>
        <w:t>AGS主动式进气格栅、ADB矩阵式LED大灯、奢侈级香氛系统、主动式电子预紧限力安全带、FACEID人脸识别功能、脚踢式感应电动尾门等。</w:t>
      </w:r>
    </w:p>
    <w:p w14:paraId="2C17E51E" w14:textId="77777777" w:rsidR="00734405" w:rsidRDefault="00734405" w:rsidP="007B6EB6">
      <w:r>
        <w:rPr>
          <w:rFonts w:hint="eastAsia"/>
        </w:rPr>
        <w:t>动力方面，新车搭载</w:t>
      </w:r>
      <w:r>
        <w:t>2.0T发动机，匹配7DCT，8TIP变速箱。</w:t>
      </w:r>
    </w:p>
    <w:p w14:paraId="2BBD847E" w14:textId="77777777" w:rsidR="00734405" w:rsidRDefault="00734405" w:rsidP="007B6EB6">
      <w:pPr>
        <w:rPr>
          <w:rFonts w:cs="宋体"/>
          <w:b/>
          <w:bCs/>
          <w:i/>
          <w:iCs/>
        </w:rPr>
      </w:pPr>
      <w:r w:rsidRPr="007654C2">
        <w:rPr>
          <w:rFonts w:cs="宋体" w:hint="eastAsia"/>
          <w:b/>
          <w:bCs/>
          <w:i/>
          <w:iCs/>
        </w:rPr>
        <w:t>分析：。</w:t>
      </w:r>
    </w:p>
    <w:p w14:paraId="65718F4C" w14:textId="77777777" w:rsidR="00734405" w:rsidRPr="00334007" w:rsidRDefault="00734405" w:rsidP="007B6EB6">
      <w:pPr>
        <w:pStyle w:val="a8"/>
        <w:numPr>
          <w:ilvl w:val="0"/>
          <w:numId w:val="6"/>
        </w:numPr>
        <w:ind w:firstLineChars="0"/>
        <w:outlineLvl w:val="1"/>
        <w:rPr>
          <w:b/>
        </w:rPr>
      </w:pPr>
      <w:r w:rsidRPr="00334007">
        <w:rPr>
          <w:b/>
        </w:rPr>
        <w:t>起亚智跑Ace</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2894"/>
        <w:gridCol w:w="81"/>
      </w:tblGrid>
      <w:tr w:rsidR="00734405" w:rsidRPr="00563D63" w14:paraId="0FB9F1B4" w14:textId="77777777" w:rsidTr="00FD6575">
        <w:trPr>
          <w:tblCellSpacing w:w="15" w:type="dxa"/>
        </w:trPr>
        <w:tc>
          <w:tcPr>
            <w:tcW w:w="0" w:type="auto"/>
            <w:tcBorders>
              <w:top w:val="nil"/>
              <w:left w:val="nil"/>
              <w:bottom w:val="nil"/>
              <w:right w:val="nil"/>
            </w:tcBorders>
            <w:hideMark/>
          </w:tcPr>
          <w:p w14:paraId="50935264" w14:textId="77777777" w:rsidR="00734405" w:rsidRPr="00563D63" w:rsidRDefault="00734405" w:rsidP="00FD6575">
            <w:pPr>
              <w:widowControl/>
              <w:jc w:val="left"/>
              <w:rPr>
                <w:rFonts w:ascii="宋体" w:eastAsia="宋体" w:hAnsi="宋体" w:cs="宋体"/>
                <w:kern w:val="0"/>
                <w:sz w:val="24"/>
              </w:rPr>
            </w:pPr>
          </w:p>
        </w:tc>
        <w:tc>
          <w:tcPr>
            <w:tcW w:w="0" w:type="auto"/>
            <w:tcBorders>
              <w:top w:val="nil"/>
              <w:left w:val="nil"/>
              <w:bottom w:val="nil"/>
              <w:right w:val="nil"/>
            </w:tcBorders>
            <w:hideMark/>
          </w:tcPr>
          <w:p w14:paraId="3ECCA2DD" w14:textId="77777777" w:rsidR="00734405" w:rsidRPr="00563D63" w:rsidRDefault="00734405" w:rsidP="00FD6575">
            <w:pPr>
              <w:widowControl/>
              <w:jc w:val="left"/>
              <w:rPr>
                <w:rFonts w:ascii="微软雅黑" w:eastAsia="微软雅黑" w:hAnsi="微软雅黑" w:cs="宋体"/>
                <w:color w:val="000000"/>
                <w:kern w:val="0"/>
                <w:sz w:val="27"/>
                <w:szCs w:val="27"/>
              </w:rPr>
            </w:pPr>
            <w:r w:rsidRPr="00563D63">
              <w:rPr>
                <w:rFonts w:ascii="微软雅黑" w:eastAsia="微软雅黑" w:hAnsi="微软雅黑" w:cs="宋体"/>
                <w:noProof/>
                <w:color w:val="000000"/>
                <w:kern w:val="0"/>
                <w:sz w:val="27"/>
                <w:szCs w:val="27"/>
              </w:rPr>
              <w:drawing>
                <wp:inline distT="0" distB="0" distL="0" distR="0" wp14:anchorId="482045DD" wp14:editId="32DDF78E">
                  <wp:extent cx="1800000" cy="955959"/>
                  <wp:effectExtent l="0" t="0" r="0" b="0"/>
                  <wp:docPr id="10" name="图片 10" descr="http://58.246.65.10:8231/UploadFile/2021071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58.246.65.10:8231/UploadFile/2021071301.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00000" cy="955959"/>
                          </a:xfrm>
                          <a:prstGeom prst="rect">
                            <a:avLst/>
                          </a:prstGeom>
                          <a:noFill/>
                          <a:ln>
                            <a:noFill/>
                          </a:ln>
                        </pic:spPr>
                      </pic:pic>
                    </a:graphicData>
                  </a:graphic>
                </wp:inline>
              </w:drawing>
            </w:r>
          </w:p>
        </w:tc>
        <w:tc>
          <w:tcPr>
            <w:tcW w:w="0" w:type="auto"/>
            <w:tcBorders>
              <w:top w:val="nil"/>
              <w:left w:val="nil"/>
              <w:bottom w:val="nil"/>
              <w:right w:val="nil"/>
            </w:tcBorders>
            <w:hideMark/>
          </w:tcPr>
          <w:p w14:paraId="4B90DEA3" w14:textId="77777777" w:rsidR="00734405" w:rsidRPr="00563D63" w:rsidRDefault="00734405" w:rsidP="00FD6575">
            <w:pPr>
              <w:widowControl/>
              <w:jc w:val="left"/>
              <w:rPr>
                <w:rFonts w:ascii="微软雅黑" w:eastAsia="微软雅黑" w:hAnsi="微软雅黑" w:cs="宋体"/>
                <w:color w:val="000000"/>
                <w:kern w:val="0"/>
                <w:sz w:val="27"/>
                <w:szCs w:val="27"/>
              </w:rPr>
            </w:pPr>
          </w:p>
        </w:tc>
      </w:tr>
    </w:tbl>
    <w:p w14:paraId="6B7A3BBD" w14:textId="77777777" w:rsidR="00734405" w:rsidRDefault="00734405" w:rsidP="007B6EB6">
      <w:r>
        <w:t>7月12日，起亚智跑Ace上市，新车共推5款，售价区间为13.98万-15.78万元。</w:t>
      </w:r>
    </w:p>
    <w:p w14:paraId="4B52A816" w14:textId="77777777" w:rsidR="00734405" w:rsidRDefault="00734405" w:rsidP="007B6EB6">
      <w:r>
        <w:rPr>
          <w:rFonts w:hint="eastAsia"/>
        </w:rPr>
        <w:t>外观方面，新车采用虎啸式进气格栅、纵向布局尾灯。</w:t>
      </w:r>
    </w:p>
    <w:p w14:paraId="3D073985" w14:textId="77777777" w:rsidR="00734405" w:rsidRDefault="00734405" w:rsidP="007B6EB6">
      <w:r>
        <w:rPr>
          <w:rFonts w:hint="eastAsia"/>
        </w:rPr>
        <w:t>内饰方面，新车采用非对称设计、</w:t>
      </w:r>
      <w:r>
        <w:t>10.25英寸中控大屏、7英寸液晶仪表盘。</w:t>
      </w:r>
    </w:p>
    <w:p w14:paraId="593681E0" w14:textId="77777777" w:rsidR="00734405" w:rsidRDefault="00734405" w:rsidP="007B6EB6">
      <w:r>
        <w:rPr>
          <w:rFonts w:hint="eastAsia"/>
        </w:rPr>
        <w:t>配置方面，新车配备百度智能网联</w:t>
      </w:r>
      <w:r>
        <w:t>3.0系统等。</w:t>
      </w:r>
    </w:p>
    <w:p w14:paraId="1B21510F" w14:textId="77777777" w:rsidR="00734405" w:rsidRDefault="00734405" w:rsidP="007B6EB6">
      <w:r>
        <w:rPr>
          <w:rFonts w:hint="eastAsia"/>
        </w:rPr>
        <w:t>动力方面，新车搭载</w:t>
      </w:r>
      <w:r>
        <w:t>1.5T，2.0L发动机，匹配7DCT，6TIP变速箱。</w:t>
      </w:r>
    </w:p>
    <w:p w14:paraId="682F6864" w14:textId="77777777" w:rsidR="00734405" w:rsidRDefault="00734405" w:rsidP="007B6EB6">
      <w:pPr>
        <w:rPr>
          <w:rFonts w:cs="宋体"/>
          <w:b/>
          <w:bCs/>
          <w:i/>
          <w:iCs/>
        </w:rPr>
      </w:pPr>
      <w:r w:rsidRPr="007654C2">
        <w:rPr>
          <w:rFonts w:cs="宋体" w:hint="eastAsia"/>
          <w:b/>
          <w:bCs/>
          <w:i/>
          <w:iCs/>
        </w:rPr>
        <w:t>分析：。</w:t>
      </w:r>
    </w:p>
    <w:p w14:paraId="7DC4AA27" w14:textId="77777777" w:rsidR="00734405" w:rsidRPr="00E30FEA" w:rsidRDefault="00734405" w:rsidP="007B6EB6">
      <w:pPr>
        <w:pStyle w:val="a8"/>
        <w:numPr>
          <w:ilvl w:val="0"/>
          <w:numId w:val="6"/>
        </w:numPr>
        <w:ind w:firstLineChars="0"/>
        <w:outlineLvl w:val="1"/>
        <w:rPr>
          <w:b/>
        </w:rPr>
      </w:pPr>
      <w:r w:rsidRPr="00E30FEA">
        <w:rPr>
          <w:b/>
        </w:rPr>
        <w:t>天际ME5</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2894"/>
        <w:gridCol w:w="81"/>
      </w:tblGrid>
      <w:tr w:rsidR="00734405" w:rsidRPr="00BB23F1" w14:paraId="4D730B7F" w14:textId="77777777" w:rsidTr="00FD6575">
        <w:trPr>
          <w:tblCellSpacing w:w="15" w:type="dxa"/>
        </w:trPr>
        <w:tc>
          <w:tcPr>
            <w:tcW w:w="0" w:type="auto"/>
            <w:tcBorders>
              <w:top w:val="nil"/>
              <w:left w:val="nil"/>
              <w:bottom w:val="nil"/>
              <w:right w:val="nil"/>
            </w:tcBorders>
            <w:hideMark/>
          </w:tcPr>
          <w:p w14:paraId="7CC09499" w14:textId="77777777" w:rsidR="00734405" w:rsidRPr="00BB23F1" w:rsidRDefault="00734405" w:rsidP="00FD6575">
            <w:pPr>
              <w:widowControl/>
              <w:jc w:val="left"/>
              <w:rPr>
                <w:rFonts w:ascii="宋体" w:eastAsia="宋体" w:hAnsi="宋体" w:cs="宋体"/>
                <w:kern w:val="0"/>
                <w:sz w:val="24"/>
              </w:rPr>
            </w:pPr>
          </w:p>
        </w:tc>
        <w:tc>
          <w:tcPr>
            <w:tcW w:w="0" w:type="auto"/>
            <w:tcBorders>
              <w:top w:val="nil"/>
              <w:left w:val="nil"/>
              <w:bottom w:val="nil"/>
              <w:right w:val="nil"/>
            </w:tcBorders>
            <w:hideMark/>
          </w:tcPr>
          <w:p w14:paraId="0311AA4C" w14:textId="77777777" w:rsidR="00734405" w:rsidRPr="00BB23F1" w:rsidRDefault="00734405" w:rsidP="00FD6575">
            <w:pPr>
              <w:widowControl/>
              <w:jc w:val="left"/>
              <w:rPr>
                <w:rFonts w:ascii="微软雅黑" w:eastAsia="微软雅黑" w:hAnsi="微软雅黑" w:cs="宋体"/>
                <w:color w:val="000000"/>
                <w:kern w:val="0"/>
                <w:sz w:val="27"/>
                <w:szCs w:val="27"/>
              </w:rPr>
            </w:pPr>
            <w:r w:rsidRPr="00BB23F1">
              <w:rPr>
                <w:rFonts w:ascii="微软雅黑" w:eastAsia="微软雅黑" w:hAnsi="微软雅黑" w:cs="宋体"/>
                <w:noProof/>
                <w:color w:val="000000"/>
                <w:kern w:val="0"/>
                <w:sz w:val="27"/>
                <w:szCs w:val="27"/>
              </w:rPr>
              <w:drawing>
                <wp:inline distT="0" distB="0" distL="0" distR="0" wp14:anchorId="3DCD576F" wp14:editId="38363EA4">
                  <wp:extent cx="1800000" cy="1031610"/>
                  <wp:effectExtent l="0" t="0" r="0" b="0"/>
                  <wp:docPr id="9" name="图片 9" descr="http://58.246.65.10:8231/UploadFile/2021071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58.246.65.10:8231/UploadFile/2021071401.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00000" cy="1031610"/>
                          </a:xfrm>
                          <a:prstGeom prst="rect">
                            <a:avLst/>
                          </a:prstGeom>
                          <a:noFill/>
                          <a:ln>
                            <a:noFill/>
                          </a:ln>
                        </pic:spPr>
                      </pic:pic>
                    </a:graphicData>
                  </a:graphic>
                </wp:inline>
              </w:drawing>
            </w:r>
          </w:p>
        </w:tc>
        <w:tc>
          <w:tcPr>
            <w:tcW w:w="0" w:type="auto"/>
            <w:tcBorders>
              <w:top w:val="nil"/>
              <w:left w:val="nil"/>
              <w:bottom w:val="nil"/>
              <w:right w:val="nil"/>
            </w:tcBorders>
            <w:hideMark/>
          </w:tcPr>
          <w:p w14:paraId="57BECAB3" w14:textId="77777777" w:rsidR="00734405" w:rsidRPr="00BB23F1" w:rsidRDefault="00734405" w:rsidP="00FD6575">
            <w:pPr>
              <w:widowControl/>
              <w:jc w:val="left"/>
              <w:rPr>
                <w:rFonts w:ascii="微软雅黑" w:eastAsia="微软雅黑" w:hAnsi="微软雅黑" w:cs="宋体"/>
                <w:color w:val="000000"/>
                <w:kern w:val="0"/>
                <w:sz w:val="27"/>
                <w:szCs w:val="27"/>
              </w:rPr>
            </w:pPr>
          </w:p>
        </w:tc>
      </w:tr>
    </w:tbl>
    <w:p w14:paraId="518CE924" w14:textId="77777777" w:rsidR="00734405" w:rsidRDefault="00734405" w:rsidP="007B6EB6">
      <w:r>
        <w:t>7月13日，天际ME5上市，新车共推2款，售价区间为14.99万-15.99万元。</w:t>
      </w:r>
    </w:p>
    <w:p w14:paraId="25D8FA66" w14:textId="77777777" w:rsidR="00734405" w:rsidRDefault="00734405" w:rsidP="007B6EB6">
      <w:r>
        <w:rPr>
          <w:rFonts w:hint="eastAsia"/>
        </w:rPr>
        <w:t>外观方面，新车采用封闭式前中网的设计，贯穿式</w:t>
      </w:r>
      <w:r>
        <w:t>LED头灯组。</w:t>
      </w:r>
    </w:p>
    <w:p w14:paraId="100AD940" w14:textId="77777777" w:rsidR="00734405" w:rsidRDefault="00734405" w:rsidP="007B6EB6">
      <w:r>
        <w:rPr>
          <w:rFonts w:hint="eastAsia"/>
        </w:rPr>
        <w:t>内饰方面，新车采用纯黑和黑灰搭配、</w:t>
      </w:r>
      <w:r>
        <w:t>14.8英寸显示屏、10.25英寸全液晶仪表盘。</w:t>
      </w:r>
    </w:p>
    <w:p w14:paraId="0B3D1697" w14:textId="77777777" w:rsidR="00734405" w:rsidRDefault="00734405" w:rsidP="007B6EB6">
      <w:r>
        <w:rPr>
          <w:rFonts w:hint="eastAsia"/>
        </w:rPr>
        <w:t>配置方面，新车配备智能</w:t>
      </w:r>
      <w:r>
        <w:t>AI助手、智能迎宾灯光交互、记忆泊车、远程召唤等。</w:t>
      </w:r>
    </w:p>
    <w:p w14:paraId="41984405" w14:textId="77777777" w:rsidR="00734405" w:rsidRDefault="00734405" w:rsidP="007B6EB6">
      <w:r>
        <w:rPr>
          <w:rFonts w:hint="eastAsia"/>
        </w:rPr>
        <w:t>动力方面，新车搭载由</w:t>
      </w:r>
      <w:r>
        <w:t>1.5L发动机和电动机组成的增程式混动系统，NEDC纯电续航里程为155km。</w:t>
      </w:r>
    </w:p>
    <w:p w14:paraId="09765141" w14:textId="77777777" w:rsidR="00734405" w:rsidRDefault="00734405" w:rsidP="007B6EB6">
      <w:pPr>
        <w:rPr>
          <w:rFonts w:cs="宋体"/>
          <w:b/>
          <w:bCs/>
          <w:i/>
          <w:iCs/>
        </w:rPr>
      </w:pPr>
      <w:r w:rsidRPr="007654C2">
        <w:rPr>
          <w:rFonts w:cs="宋体" w:hint="eastAsia"/>
          <w:b/>
          <w:bCs/>
          <w:i/>
          <w:iCs/>
        </w:rPr>
        <w:t>分析：。</w:t>
      </w:r>
    </w:p>
    <w:p w14:paraId="1B17F17F" w14:textId="77777777" w:rsidR="00734405" w:rsidRPr="00D4446B" w:rsidRDefault="00734405" w:rsidP="007B6EB6">
      <w:pPr>
        <w:pStyle w:val="a8"/>
        <w:numPr>
          <w:ilvl w:val="0"/>
          <w:numId w:val="6"/>
        </w:numPr>
        <w:ind w:firstLineChars="0"/>
        <w:outlineLvl w:val="1"/>
        <w:rPr>
          <w:b/>
        </w:rPr>
      </w:pPr>
      <w:r w:rsidRPr="00D4446B">
        <w:rPr>
          <w:b/>
        </w:rPr>
        <w:t>小鹏G3i</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2894"/>
        <w:gridCol w:w="81"/>
      </w:tblGrid>
      <w:tr w:rsidR="00734405" w:rsidRPr="00BA47FD" w14:paraId="0445D0AA" w14:textId="77777777" w:rsidTr="00FD6575">
        <w:trPr>
          <w:tblCellSpacing w:w="15" w:type="dxa"/>
        </w:trPr>
        <w:tc>
          <w:tcPr>
            <w:tcW w:w="0" w:type="auto"/>
            <w:tcBorders>
              <w:top w:val="nil"/>
              <w:left w:val="nil"/>
              <w:bottom w:val="nil"/>
              <w:right w:val="nil"/>
            </w:tcBorders>
            <w:hideMark/>
          </w:tcPr>
          <w:p w14:paraId="00986889" w14:textId="77777777" w:rsidR="00734405" w:rsidRPr="00BA47FD" w:rsidRDefault="00734405" w:rsidP="00FD6575">
            <w:pPr>
              <w:widowControl/>
              <w:jc w:val="left"/>
              <w:rPr>
                <w:rFonts w:ascii="宋体" w:eastAsia="宋体" w:hAnsi="宋体" w:cs="宋体"/>
                <w:kern w:val="0"/>
                <w:sz w:val="24"/>
              </w:rPr>
            </w:pPr>
          </w:p>
        </w:tc>
        <w:tc>
          <w:tcPr>
            <w:tcW w:w="0" w:type="auto"/>
            <w:tcBorders>
              <w:top w:val="nil"/>
              <w:left w:val="nil"/>
              <w:bottom w:val="nil"/>
              <w:right w:val="nil"/>
            </w:tcBorders>
            <w:hideMark/>
          </w:tcPr>
          <w:p w14:paraId="71EF099D" w14:textId="77777777" w:rsidR="00734405" w:rsidRPr="00BA47FD" w:rsidRDefault="00734405" w:rsidP="00FD6575">
            <w:pPr>
              <w:widowControl/>
              <w:jc w:val="left"/>
              <w:rPr>
                <w:rFonts w:ascii="微软雅黑" w:eastAsia="微软雅黑" w:hAnsi="微软雅黑" w:cs="宋体"/>
                <w:color w:val="000000"/>
                <w:kern w:val="0"/>
                <w:sz w:val="27"/>
                <w:szCs w:val="27"/>
              </w:rPr>
            </w:pPr>
            <w:r w:rsidRPr="00BA47FD">
              <w:rPr>
                <w:rFonts w:ascii="微软雅黑" w:eastAsia="微软雅黑" w:hAnsi="微软雅黑" w:cs="宋体"/>
                <w:noProof/>
                <w:color w:val="000000"/>
                <w:kern w:val="0"/>
                <w:sz w:val="27"/>
                <w:szCs w:val="27"/>
              </w:rPr>
              <w:drawing>
                <wp:inline distT="0" distB="0" distL="0" distR="0" wp14:anchorId="5D71BA42" wp14:editId="736D3207">
                  <wp:extent cx="1800000" cy="1130829"/>
                  <wp:effectExtent l="0" t="0" r="0" b="0"/>
                  <wp:docPr id="8" name="图片 8" descr="http://58.246.65.10:8231/UploadFile/2021071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21071202.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800000" cy="1130829"/>
                          </a:xfrm>
                          <a:prstGeom prst="rect">
                            <a:avLst/>
                          </a:prstGeom>
                          <a:noFill/>
                          <a:ln>
                            <a:noFill/>
                          </a:ln>
                        </pic:spPr>
                      </pic:pic>
                    </a:graphicData>
                  </a:graphic>
                </wp:inline>
              </w:drawing>
            </w:r>
          </w:p>
        </w:tc>
        <w:tc>
          <w:tcPr>
            <w:tcW w:w="0" w:type="auto"/>
            <w:tcBorders>
              <w:top w:val="nil"/>
              <w:left w:val="nil"/>
              <w:bottom w:val="nil"/>
              <w:right w:val="nil"/>
            </w:tcBorders>
            <w:hideMark/>
          </w:tcPr>
          <w:p w14:paraId="7A50AE90" w14:textId="77777777" w:rsidR="00734405" w:rsidRPr="00BA47FD" w:rsidRDefault="00734405" w:rsidP="00FD6575">
            <w:pPr>
              <w:widowControl/>
              <w:jc w:val="left"/>
              <w:rPr>
                <w:rFonts w:ascii="微软雅黑" w:eastAsia="微软雅黑" w:hAnsi="微软雅黑" w:cs="宋体"/>
                <w:color w:val="000000"/>
                <w:kern w:val="0"/>
                <w:sz w:val="27"/>
                <w:szCs w:val="27"/>
              </w:rPr>
            </w:pPr>
          </w:p>
        </w:tc>
      </w:tr>
    </w:tbl>
    <w:p w14:paraId="0562B119" w14:textId="77777777" w:rsidR="00734405" w:rsidRDefault="00734405" w:rsidP="007B6EB6">
      <w:r>
        <w:t>7月9日，小鹏G3i上市，新车共推4款，售价区间为14.98万-18.58万元。</w:t>
      </w:r>
    </w:p>
    <w:p w14:paraId="3630CD6C" w14:textId="77777777" w:rsidR="00734405" w:rsidRDefault="00734405" w:rsidP="007B6EB6">
      <w:r>
        <w:rPr>
          <w:rFonts w:hint="eastAsia"/>
        </w:rPr>
        <w:t>外观方面，新车采用长条形的智能灯、隐藏式门把手、加长车身。</w:t>
      </w:r>
    </w:p>
    <w:p w14:paraId="09456AB3" w14:textId="77777777" w:rsidR="00734405" w:rsidRDefault="00734405" w:rsidP="007B6EB6">
      <w:r>
        <w:rPr>
          <w:rFonts w:hint="eastAsia"/>
        </w:rPr>
        <w:t>配置方面，新车配备三组毫米波雷达、</w:t>
      </w:r>
      <w:r>
        <w:t>12个超声波雷达、5个高清摄像头、XPILOT2.5自动驾驶辅助系统。</w:t>
      </w:r>
    </w:p>
    <w:p w14:paraId="471B0CEC" w14:textId="77777777" w:rsidR="00734405" w:rsidRDefault="00734405" w:rsidP="007B6EB6">
      <w:r>
        <w:rPr>
          <w:rFonts w:hint="eastAsia"/>
        </w:rPr>
        <w:t>动力方面，新车搭载纯电动机，</w:t>
      </w:r>
      <w:r>
        <w:t>NEDC综合续航里程达460km，520km。</w:t>
      </w:r>
    </w:p>
    <w:p w14:paraId="73CBA6E7" w14:textId="77777777" w:rsidR="00734405" w:rsidRDefault="00734405" w:rsidP="007B6EB6">
      <w:pPr>
        <w:rPr>
          <w:rFonts w:cs="宋体"/>
          <w:b/>
          <w:bCs/>
          <w:i/>
          <w:iCs/>
        </w:rPr>
      </w:pPr>
      <w:r w:rsidRPr="007654C2">
        <w:rPr>
          <w:rFonts w:cs="宋体" w:hint="eastAsia"/>
          <w:b/>
          <w:bCs/>
          <w:i/>
          <w:iCs/>
        </w:rPr>
        <w:t>分析：。</w:t>
      </w:r>
    </w:p>
    <w:p w14:paraId="66CEDEB5" w14:textId="77777777" w:rsidR="00734405" w:rsidRDefault="00734405" w:rsidP="007B6EB6">
      <w:pPr>
        <w:pStyle w:val="a8"/>
        <w:numPr>
          <w:ilvl w:val="0"/>
          <w:numId w:val="6"/>
        </w:numPr>
        <w:ind w:firstLineChars="0"/>
        <w:outlineLvl w:val="1"/>
      </w:pPr>
      <w:r w:rsidRPr="004C0808">
        <w:rPr>
          <w:b/>
        </w:rPr>
        <w:t>新款别克君威GS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2894"/>
        <w:gridCol w:w="81"/>
      </w:tblGrid>
      <w:tr w:rsidR="00734405" w:rsidRPr="00BB23F1" w14:paraId="292CF608" w14:textId="77777777" w:rsidTr="00FD6575">
        <w:trPr>
          <w:tblCellSpacing w:w="15" w:type="dxa"/>
        </w:trPr>
        <w:tc>
          <w:tcPr>
            <w:tcW w:w="0" w:type="auto"/>
            <w:tcBorders>
              <w:top w:val="nil"/>
              <w:left w:val="nil"/>
              <w:bottom w:val="nil"/>
              <w:right w:val="nil"/>
            </w:tcBorders>
            <w:hideMark/>
          </w:tcPr>
          <w:p w14:paraId="2942AA16" w14:textId="77777777" w:rsidR="00734405" w:rsidRPr="00BB23F1" w:rsidRDefault="00734405" w:rsidP="00FD6575">
            <w:pPr>
              <w:widowControl/>
              <w:jc w:val="left"/>
              <w:rPr>
                <w:rFonts w:ascii="宋体" w:eastAsia="宋体" w:hAnsi="宋体" w:cs="宋体"/>
                <w:kern w:val="0"/>
                <w:sz w:val="24"/>
              </w:rPr>
            </w:pPr>
          </w:p>
        </w:tc>
        <w:tc>
          <w:tcPr>
            <w:tcW w:w="0" w:type="auto"/>
            <w:tcBorders>
              <w:top w:val="nil"/>
              <w:left w:val="nil"/>
              <w:bottom w:val="nil"/>
              <w:right w:val="nil"/>
            </w:tcBorders>
            <w:hideMark/>
          </w:tcPr>
          <w:p w14:paraId="7D83C9C8" w14:textId="77777777" w:rsidR="00734405" w:rsidRPr="00BB23F1" w:rsidRDefault="00734405" w:rsidP="00FD6575">
            <w:pPr>
              <w:widowControl/>
              <w:jc w:val="left"/>
              <w:rPr>
                <w:rFonts w:ascii="微软雅黑" w:eastAsia="微软雅黑" w:hAnsi="微软雅黑" w:cs="宋体"/>
                <w:color w:val="000000"/>
                <w:kern w:val="0"/>
                <w:sz w:val="27"/>
                <w:szCs w:val="27"/>
              </w:rPr>
            </w:pPr>
            <w:r w:rsidRPr="00BB23F1">
              <w:rPr>
                <w:rFonts w:ascii="微软雅黑" w:eastAsia="微软雅黑" w:hAnsi="微软雅黑" w:cs="宋体"/>
                <w:noProof/>
                <w:color w:val="000000"/>
                <w:kern w:val="0"/>
                <w:sz w:val="27"/>
                <w:szCs w:val="27"/>
              </w:rPr>
              <w:drawing>
                <wp:inline distT="0" distB="0" distL="0" distR="0" wp14:anchorId="6CA6DBC5" wp14:editId="02E13886">
                  <wp:extent cx="1800000" cy="929784"/>
                  <wp:effectExtent l="0" t="0" r="0" b="3810"/>
                  <wp:docPr id="17" name="图片 17" descr="http://58.246.65.10:8231/UploadFile/2021071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58.246.65.10:8231/UploadFile/2021071501.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800000" cy="929784"/>
                          </a:xfrm>
                          <a:prstGeom prst="rect">
                            <a:avLst/>
                          </a:prstGeom>
                          <a:noFill/>
                          <a:ln>
                            <a:noFill/>
                          </a:ln>
                        </pic:spPr>
                      </pic:pic>
                    </a:graphicData>
                  </a:graphic>
                </wp:inline>
              </w:drawing>
            </w:r>
          </w:p>
        </w:tc>
        <w:tc>
          <w:tcPr>
            <w:tcW w:w="0" w:type="auto"/>
            <w:tcBorders>
              <w:top w:val="nil"/>
              <w:left w:val="nil"/>
              <w:bottom w:val="nil"/>
              <w:right w:val="nil"/>
            </w:tcBorders>
            <w:hideMark/>
          </w:tcPr>
          <w:p w14:paraId="43E0FBE9" w14:textId="77777777" w:rsidR="00734405" w:rsidRPr="00BB23F1" w:rsidRDefault="00734405" w:rsidP="00FD6575">
            <w:pPr>
              <w:widowControl/>
              <w:jc w:val="left"/>
              <w:rPr>
                <w:rFonts w:ascii="微软雅黑" w:eastAsia="微软雅黑" w:hAnsi="微软雅黑" w:cs="宋体"/>
                <w:color w:val="000000"/>
                <w:kern w:val="0"/>
                <w:sz w:val="27"/>
                <w:szCs w:val="27"/>
              </w:rPr>
            </w:pPr>
          </w:p>
        </w:tc>
      </w:tr>
    </w:tbl>
    <w:p w14:paraId="3CE76952" w14:textId="77777777" w:rsidR="00734405" w:rsidRDefault="00734405" w:rsidP="007B6EB6">
      <w:r>
        <w:t>7月14日，新款别克君威GS上市，新车共推2款，售价区间为21.88万-24.98万元。</w:t>
      </w:r>
    </w:p>
    <w:p w14:paraId="14C05585" w14:textId="77777777" w:rsidR="00734405" w:rsidRDefault="00734405" w:rsidP="007B6EB6">
      <w:r>
        <w:rPr>
          <w:rFonts w:hint="eastAsia"/>
        </w:rPr>
        <w:t>外观方面，新车与老款车型基本保持一致。</w:t>
      </w:r>
    </w:p>
    <w:p w14:paraId="319D83EB" w14:textId="77777777" w:rsidR="00734405" w:rsidRDefault="00734405" w:rsidP="007B6EB6">
      <w:r>
        <w:rPr>
          <w:rFonts w:hint="eastAsia"/>
        </w:rPr>
        <w:t>配置方面，新车配备</w:t>
      </w:r>
      <w:r>
        <w:t>GS驾控技术、GS运动套装设计、GS运动功能套装、互联配置、智能驾驶辅助、侧气帘、TCS、ESC、流媒体后视镜、无钥匙进入及启动、双区自动空调等。</w:t>
      </w:r>
    </w:p>
    <w:p w14:paraId="02DA957B" w14:textId="77777777" w:rsidR="00734405" w:rsidRDefault="00734405" w:rsidP="007B6EB6">
      <w:r>
        <w:rPr>
          <w:rFonts w:hint="eastAsia"/>
        </w:rPr>
        <w:t>动力方面，新车搭载</w:t>
      </w:r>
      <w:r>
        <w:t>2.0T发动机，匹配9TIP变速箱。</w:t>
      </w:r>
    </w:p>
    <w:p w14:paraId="16A551A0" w14:textId="77777777" w:rsidR="00734405" w:rsidRDefault="00734405" w:rsidP="007B6EB6">
      <w:pPr>
        <w:rPr>
          <w:rFonts w:cs="宋体"/>
          <w:b/>
          <w:bCs/>
          <w:i/>
          <w:iCs/>
        </w:rPr>
      </w:pPr>
      <w:r w:rsidRPr="007654C2">
        <w:rPr>
          <w:rFonts w:cs="宋体" w:hint="eastAsia"/>
          <w:b/>
          <w:bCs/>
          <w:i/>
          <w:iCs/>
        </w:rPr>
        <w:t>分析：。</w:t>
      </w:r>
    </w:p>
    <w:p w14:paraId="29152FC3" w14:textId="77777777" w:rsidR="00734405" w:rsidRPr="00D4446B" w:rsidRDefault="00734405" w:rsidP="007B6EB6">
      <w:pPr>
        <w:pStyle w:val="a8"/>
        <w:numPr>
          <w:ilvl w:val="0"/>
          <w:numId w:val="6"/>
        </w:numPr>
        <w:ind w:firstLineChars="0"/>
        <w:outlineLvl w:val="1"/>
        <w:rPr>
          <w:b/>
        </w:rPr>
      </w:pPr>
      <w:r w:rsidRPr="00D4446B">
        <w:rPr>
          <w:b/>
        </w:rPr>
        <w:t>新款领克02</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2894"/>
        <w:gridCol w:w="81"/>
      </w:tblGrid>
      <w:tr w:rsidR="00734405" w:rsidRPr="00BA47FD" w14:paraId="23EB2727" w14:textId="77777777" w:rsidTr="00FD6575">
        <w:trPr>
          <w:tblCellSpacing w:w="15" w:type="dxa"/>
        </w:trPr>
        <w:tc>
          <w:tcPr>
            <w:tcW w:w="0" w:type="auto"/>
            <w:tcBorders>
              <w:top w:val="nil"/>
              <w:left w:val="nil"/>
              <w:bottom w:val="nil"/>
              <w:right w:val="nil"/>
            </w:tcBorders>
            <w:hideMark/>
          </w:tcPr>
          <w:p w14:paraId="2CD6198B" w14:textId="77777777" w:rsidR="00734405" w:rsidRPr="00BA47FD" w:rsidRDefault="00734405" w:rsidP="00FD6575">
            <w:pPr>
              <w:widowControl/>
              <w:jc w:val="left"/>
              <w:rPr>
                <w:rFonts w:ascii="宋体" w:eastAsia="宋体" w:hAnsi="宋体" w:cs="宋体"/>
                <w:kern w:val="0"/>
                <w:sz w:val="24"/>
              </w:rPr>
            </w:pPr>
          </w:p>
        </w:tc>
        <w:tc>
          <w:tcPr>
            <w:tcW w:w="0" w:type="auto"/>
            <w:tcBorders>
              <w:top w:val="nil"/>
              <w:left w:val="nil"/>
              <w:bottom w:val="nil"/>
              <w:right w:val="nil"/>
            </w:tcBorders>
            <w:hideMark/>
          </w:tcPr>
          <w:p w14:paraId="2C9EAAD6" w14:textId="77777777" w:rsidR="00734405" w:rsidRPr="00BA47FD" w:rsidRDefault="00734405" w:rsidP="00FD6575">
            <w:pPr>
              <w:widowControl/>
              <w:jc w:val="left"/>
              <w:rPr>
                <w:rFonts w:ascii="微软雅黑" w:eastAsia="微软雅黑" w:hAnsi="微软雅黑" w:cs="宋体"/>
                <w:color w:val="000000"/>
                <w:kern w:val="0"/>
                <w:sz w:val="27"/>
                <w:szCs w:val="27"/>
              </w:rPr>
            </w:pPr>
            <w:r w:rsidRPr="00BA47FD">
              <w:rPr>
                <w:rFonts w:ascii="微软雅黑" w:eastAsia="微软雅黑" w:hAnsi="微软雅黑" w:cs="宋体"/>
                <w:noProof/>
                <w:color w:val="000000"/>
                <w:kern w:val="0"/>
                <w:sz w:val="27"/>
                <w:szCs w:val="27"/>
              </w:rPr>
              <w:drawing>
                <wp:inline distT="0" distB="0" distL="0" distR="0" wp14:anchorId="37AC999E" wp14:editId="70E35651">
                  <wp:extent cx="1800000" cy="1102703"/>
                  <wp:effectExtent l="0" t="0" r="0" b="2540"/>
                  <wp:docPr id="6" name="图片 6" descr="http://58.246.65.10:8231/UploadFile/2021071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21071203.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800000" cy="1102703"/>
                          </a:xfrm>
                          <a:prstGeom prst="rect">
                            <a:avLst/>
                          </a:prstGeom>
                          <a:noFill/>
                          <a:ln>
                            <a:noFill/>
                          </a:ln>
                        </pic:spPr>
                      </pic:pic>
                    </a:graphicData>
                  </a:graphic>
                </wp:inline>
              </w:drawing>
            </w:r>
          </w:p>
        </w:tc>
        <w:tc>
          <w:tcPr>
            <w:tcW w:w="0" w:type="auto"/>
            <w:tcBorders>
              <w:top w:val="nil"/>
              <w:left w:val="nil"/>
              <w:bottom w:val="nil"/>
              <w:right w:val="nil"/>
            </w:tcBorders>
            <w:hideMark/>
          </w:tcPr>
          <w:p w14:paraId="5E0C9634" w14:textId="77777777" w:rsidR="00734405" w:rsidRPr="00BA47FD" w:rsidRDefault="00734405" w:rsidP="00FD6575">
            <w:pPr>
              <w:widowControl/>
              <w:jc w:val="left"/>
              <w:rPr>
                <w:rFonts w:ascii="微软雅黑" w:eastAsia="微软雅黑" w:hAnsi="微软雅黑" w:cs="宋体"/>
                <w:color w:val="000000"/>
                <w:kern w:val="0"/>
                <w:sz w:val="27"/>
                <w:szCs w:val="27"/>
              </w:rPr>
            </w:pPr>
          </w:p>
        </w:tc>
      </w:tr>
    </w:tbl>
    <w:p w14:paraId="0F49C9FA" w14:textId="77777777" w:rsidR="00734405" w:rsidRDefault="00734405" w:rsidP="007B6EB6">
      <w:r>
        <w:t>7月11日，新款领克02上市，新车共推4款，售价区间为13.98万-16.58万元。</w:t>
      </w:r>
    </w:p>
    <w:p w14:paraId="1CD64840" w14:textId="77777777" w:rsidR="00734405" w:rsidRDefault="00734405" w:rsidP="007B6EB6">
      <w:r>
        <w:rPr>
          <w:rFonts w:hint="eastAsia"/>
        </w:rPr>
        <w:t>外观方面，新车增加领克</w:t>
      </w:r>
      <w:r>
        <w:t>03同款灰色。</w:t>
      </w:r>
    </w:p>
    <w:p w14:paraId="639E7D37" w14:textId="77777777" w:rsidR="00734405" w:rsidRDefault="00734405" w:rsidP="007B6EB6">
      <w:r>
        <w:rPr>
          <w:rFonts w:hint="eastAsia"/>
        </w:rPr>
        <w:t>内饰方面，新车缝线颜色跟随车身撞色饰条颜色变化。</w:t>
      </w:r>
    </w:p>
    <w:p w14:paraId="52368923" w14:textId="77777777" w:rsidR="00734405" w:rsidRDefault="00734405" w:rsidP="007B6EB6">
      <w:r>
        <w:rPr>
          <w:rFonts w:hint="eastAsia"/>
        </w:rPr>
        <w:t>配置方面，新车配备直接式智能胎压监测、</w:t>
      </w:r>
      <w:r>
        <w:t>AFS智能大灯随动转向功能等。</w:t>
      </w:r>
    </w:p>
    <w:p w14:paraId="1137DB9C" w14:textId="77777777" w:rsidR="00734405" w:rsidRDefault="00734405" w:rsidP="007B6EB6">
      <w:r>
        <w:rPr>
          <w:rFonts w:hint="eastAsia"/>
        </w:rPr>
        <w:t>动力方面，新车搭载</w:t>
      </w:r>
      <w:r>
        <w:t>1.5T，2.0T发动机，匹配6MT，7DCT，6TIP变速箱。</w:t>
      </w:r>
    </w:p>
    <w:p w14:paraId="26F0A59F" w14:textId="77777777" w:rsidR="00734405" w:rsidRDefault="00734405" w:rsidP="007B6EB6">
      <w:pPr>
        <w:rPr>
          <w:rFonts w:cs="宋体"/>
          <w:b/>
          <w:bCs/>
          <w:i/>
          <w:iCs/>
        </w:rPr>
      </w:pPr>
      <w:r w:rsidRPr="007654C2">
        <w:rPr>
          <w:rFonts w:cs="宋体" w:hint="eastAsia"/>
          <w:b/>
          <w:bCs/>
          <w:i/>
          <w:iCs/>
        </w:rPr>
        <w:t>分析：。</w:t>
      </w:r>
    </w:p>
    <w:p w14:paraId="790E9635" w14:textId="77777777" w:rsidR="00734405" w:rsidRPr="00D4446B" w:rsidRDefault="00734405" w:rsidP="007B6EB6">
      <w:pPr>
        <w:pStyle w:val="a8"/>
        <w:numPr>
          <w:ilvl w:val="0"/>
          <w:numId w:val="6"/>
        </w:numPr>
        <w:ind w:firstLineChars="0"/>
        <w:outlineLvl w:val="1"/>
        <w:rPr>
          <w:b/>
        </w:rPr>
      </w:pPr>
      <w:r w:rsidRPr="00D4446B">
        <w:rPr>
          <w:b/>
        </w:rPr>
        <w:t>新款领克03</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2894"/>
        <w:gridCol w:w="81"/>
      </w:tblGrid>
      <w:tr w:rsidR="00734405" w:rsidRPr="00BA47FD" w14:paraId="5D825AE0" w14:textId="77777777" w:rsidTr="00FD6575">
        <w:trPr>
          <w:tblCellSpacing w:w="15" w:type="dxa"/>
        </w:trPr>
        <w:tc>
          <w:tcPr>
            <w:tcW w:w="0" w:type="auto"/>
            <w:tcBorders>
              <w:top w:val="nil"/>
              <w:left w:val="nil"/>
              <w:bottom w:val="nil"/>
              <w:right w:val="nil"/>
            </w:tcBorders>
            <w:hideMark/>
          </w:tcPr>
          <w:p w14:paraId="3FA55A1A" w14:textId="77777777" w:rsidR="00734405" w:rsidRPr="00BA47FD" w:rsidRDefault="00734405" w:rsidP="00FD6575">
            <w:pPr>
              <w:widowControl/>
              <w:jc w:val="left"/>
              <w:rPr>
                <w:rFonts w:ascii="宋体" w:eastAsia="宋体" w:hAnsi="宋体" w:cs="宋体"/>
                <w:kern w:val="0"/>
                <w:sz w:val="24"/>
              </w:rPr>
            </w:pPr>
          </w:p>
        </w:tc>
        <w:tc>
          <w:tcPr>
            <w:tcW w:w="0" w:type="auto"/>
            <w:tcBorders>
              <w:top w:val="nil"/>
              <w:left w:val="nil"/>
              <w:bottom w:val="nil"/>
              <w:right w:val="nil"/>
            </w:tcBorders>
            <w:hideMark/>
          </w:tcPr>
          <w:p w14:paraId="457E722F" w14:textId="77777777" w:rsidR="00734405" w:rsidRPr="00BA47FD" w:rsidRDefault="00734405" w:rsidP="00FD6575">
            <w:pPr>
              <w:widowControl/>
              <w:jc w:val="left"/>
              <w:rPr>
                <w:rFonts w:ascii="微软雅黑" w:eastAsia="微软雅黑" w:hAnsi="微软雅黑" w:cs="宋体"/>
                <w:color w:val="000000"/>
                <w:kern w:val="0"/>
                <w:sz w:val="27"/>
                <w:szCs w:val="27"/>
              </w:rPr>
            </w:pPr>
            <w:r w:rsidRPr="00BA47FD">
              <w:rPr>
                <w:rFonts w:ascii="微软雅黑" w:eastAsia="微软雅黑" w:hAnsi="微软雅黑" w:cs="宋体"/>
                <w:noProof/>
                <w:color w:val="000000"/>
                <w:kern w:val="0"/>
                <w:sz w:val="27"/>
                <w:szCs w:val="27"/>
              </w:rPr>
              <w:drawing>
                <wp:inline distT="0" distB="0" distL="0" distR="0" wp14:anchorId="2B90DC58" wp14:editId="43A9967C">
                  <wp:extent cx="1800000" cy="987833"/>
                  <wp:effectExtent l="0" t="0" r="0" b="3175"/>
                  <wp:docPr id="3" name="图片 3" descr="http://58.246.65.10:8231/UploadFile/2021071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21071204.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800000" cy="987833"/>
                          </a:xfrm>
                          <a:prstGeom prst="rect">
                            <a:avLst/>
                          </a:prstGeom>
                          <a:noFill/>
                          <a:ln>
                            <a:noFill/>
                          </a:ln>
                        </pic:spPr>
                      </pic:pic>
                    </a:graphicData>
                  </a:graphic>
                </wp:inline>
              </w:drawing>
            </w:r>
          </w:p>
        </w:tc>
        <w:tc>
          <w:tcPr>
            <w:tcW w:w="0" w:type="auto"/>
            <w:tcBorders>
              <w:top w:val="nil"/>
              <w:left w:val="nil"/>
              <w:bottom w:val="nil"/>
              <w:right w:val="nil"/>
            </w:tcBorders>
            <w:hideMark/>
          </w:tcPr>
          <w:p w14:paraId="1EEF4DA4" w14:textId="77777777" w:rsidR="00734405" w:rsidRPr="00BA47FD" w:rsidRDefault="00734405" w:rsidP="00FD6575">
            <w:pPr>
              <w:widowControl/>
              <w:jc w:val="left"/>
              <w:rPr>
                <w:rFonts w:ascii="微软雅黑" w:eastAsia="微软雅黑" w:hAnsi="微软雅黑" w:cs="宋体"/>
                <w:color w:val="000000"/>
                <w:kern w:val="0"/>
                <w:sz w:val="27"/>
                <w:szCs w:val="27"/>
              </w:rPr>
            </w:pPr>
          </w:p>
        </w:tc>
      </w:tr>
    </w:tbl>
    <w:p w14:paraId="6CE53C75" w14:textId="77777777" w:rsidR="00734405" w:rsidRDefault="00734405" w:rsidP="007B6EB6">
      <w:r>
        <w:t>7月11日，新款领克03上市，新车共推4款，售价区间为13.68万-16.28万元。</w:t>
      </w:r>
    </w:p>
    <w:p w14:paraId="314D42BA" w14:textId="77777777" w:rsidR="00734405" w:rsidRDefault="00734405" w:rsidP="007B6EB6">
      <w:r>
        <w:rPr>
          <w:rFonts w:hint="eastAsia"/>
        </w:rPr>
        <w:t>外观方面，新车与老款车型基本保持一致。</w:t>
      </w:r>
    </w:p>
    <w:p w14:paraId="7C059489" w14:textId="77777777" w:rsidR="00734405" w:rsidRDefault="00734405" w:rsidP="007B6EB6">
      <w:r>
        <w:rPr>
          <w:rFonts w:hint="eastAsia"/>
        </w:rPr>
        <w:t>配置方面，新车配备直接式智能胎压监测、</w:t>
      </w:r>
      <w:r>
        <w:t>AFS智能大灯随动转向功能等。</w:t>
      </w:r>
    </w:p>
    <w:p w14:paraId="7D204A18" w14:textId="77777777" w:rsidR="00734405" w:rsidRDefault="00734405" w:rsidP="007B6EB6">
      <w:r>
        <w:rPr>
          <w:rFonts w:hint="eastAsia"/>
        </w:rPr>
        <w:t>动力方面，新车搭载</w:t>
      </w:r>
      <w:r>
        <w:t>1.5T，2.0T发动机，匹配7DCT变速箱。</w:t>
      </w:r>
    </w:p>
    <w:p w14:paraId="5AC78483" w14:textId="77777777" w:rsidR="00734405" w:rsidRDefault="00734405" w:rsidP="007B6EB6">
      <w:pPr>
        <w:rPr>
          <w:rFonts w:cs="宋体"/>
          <w:b/>
          <w:bCs/>
          <w:i/>
          <w:iCs/>
        </w:rPr>
      </w:pPr>
      <w:r w:rsidRPr="007654C2">
        <w:rPr>
          <w:rFonts w:cs="宋体" w:hint="eastAsia"/>
          <w:b/>
          <w:bCs/>
          <w:i/>
          <w:iCs/>
        </w:rPr>
        <w:t>分析：。</w:t>
      </w:r>
    </w:p>
    <w:p w14:paraId="333370EE" w14:textId="77777777" w:rsidR="00734405" w:rsidRPr="00D4446B" w:rsidRDefault="00734405" w:rsidP="007B6EB6">
      <w:pPr>
        <w:pStyle w:val="a8"/>
        <w:numPr>
          <w:ilvl w:val="0"/>
          <w:numId w:val="6"/>
        </w:numPr>
        <w:ind w:firstLineChars="0"/>
        <w:outlineLvl w:val="1"/>
        <w:rPr>
          <w:b/>
        </w:rPr>
      </w:pPr>
      <w:r w:rsidRPr="00D4446B">
        <w:rPr>
          <w:b/>
        </w:rPr>
        <w:t>新款领克03+</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2894"/>
        <w:gridCol w:w="81"/>
      </w:tblGrid>
      <w:tr w:rsidR="00734405" w:rsidRPr="00BA47FD" w14:paraId="18785CE3" w14:textId="77777777" w:rsidTr="00FD6575">
        <w:trPr>
          <w:tblCellSpacing w:w="15" w:type="dxa"/>
        </w:trPr>
        <w:tc>
          <w:tcPr>
            <w:tcW w:w="0" w:type="auto"/>
            <w:tcBorders>
              <w:top w:val="nil"/>
              <w:left w:val="nil"/>
              <w:bottom w:val="nil"/>
              <w:right w:val="nil"/>
            </w:tcBorders>
            <w:hideMark/>
          </w:tcPr>
          <w:p w14:paraId="57801E0C" w14:textId="77777777" w:rsidR="00734405" w:rsidRPr="00BA47FD" w:rsidRDefault="00734405" w:rsidP="00FD6575">
            <w:pPr>
              <w:widowControl/>
              <w:jc w:val="left"/>
              <w:rPr>
                <w:rFonts w:ascii="宋体" w:eastAsia="宋体" w:hAnsi="宋体" w:cs="宋体"/>
                <w:kern w:val="0"/>
                <w:sz w:val="24"/>
              </w:rPr>
            </w:pPr>
          </w:p>
        </w:tc>
        <w:tc>
          <w:tcPr>
            <w:tcW w:w="0" w:type="auto"/>
            <w:tcBorders>
              <w:top w:val="nil"/>
              <w:left w:val="nil"/>
              <w:bottom w:val="nil"/>
              <w:right w:val="nil"/>
            </w:tcBorders>
            <w:hideMark/>
          </w:tcPr>
          <w:p w14:paraId="690D860D" w14:textId="77777777" w:rsidR="00734405" w:rsidRPr="00BA47FD" w:rsidRDefault="00734405" w:rsidP="00FD6575">
            <w:pPr>
              <w:widowControl/>
              <w:jc w:val="left"/>
              <w:rPr>
                <w:rFonts w:ascii="微软雅黑" w:eastAsia="微软雅黑" w:hAnsi="微软雅黑" w:cs="宋体"/>
                <w:color w:val="000000"/>
                <w:kern w:val="0"/>
                <w:sz w:val="27"/>
                <w:szCs w:val="27"/>
              </w:rPr>
            </w:pPr>
            <w:r w:rsidRPr="00BA47FD">
              <w:rPr>
                <w:rFonts w:ascii="微软雅黑" w:eastAsia="微软雅黑" w:hAnsi="微软雅黑" w:cs="宋体"/>
                <w:noProof/>
                <w:color w:val="000000"/>
                <w:kern w:val="0"/>
                <w:sz w:val="27"/>
                <w:szCs w:val="27"/>
              </w:rPr>
              <w:drawing>
                <wp:inline distT="0" distB="0" distL="0" distR="0" wp14:anchorId="1C311719" wp14:editId="0BEF9FCB">
                  <wp:extent cx="1800000" cy="977483"/>
                  <wp:effectExtent l="0" t="0" r="0" b="0"/>
                  <wp:docPr id="2" name="图片 2" descr="http://58.246.65.10:8231/UploadFile/20210712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21071205.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00000" cy="977483"/>
                          </a:xfrm>
                          <a:prstGeom prst="rect">
                            <a:avLst/>
                          </a:prstGeom>
                          <a:noFill/>
                          <a:ln>
                            <a:noFill/>
                          </a:ln>
                        </pic:spPr>
                      </pic:pic>
                    </a:graphicData>
                  </a:graphic>
                </wp:inline>
              </w:drawing>
            </w:r>
          </w:p>
        </w:tc>
        <w:tc>
          <w:tcPr>
            <w:tcW w:w="0" w:type="auto"/>
            <w:tcBorders>
              <w:top w:val="nil"/>
              <w:left w:val="nil"/>
              <w:bottom w:val="nil"/>
              <w:right w:val="nil"/>
            </w:tcBorders>
            <w:hideMark/>
          </w:tcPr>
          <w:p w14:paraId="46DC9CCE" w14:textId="77777777" w:rsidR="00734405" w:rsidRPr="00BA47FD" w:rsidRDefault="00734405" w:rsidP="00FD6575">
            <w:pPr>
              <w:widowControl/>
              <w:jc w:val="left"/>
              <w:rPr>
                <w:rFonts w:ascii="微软雅黑" w:eastAsia="微软雅黑" w:hAnsi="微软雅黑" w:cs="宋体"/>
                <w:color w:val="000000"/>
                <w:kern w:val="0"/>
                <w:sz w:val="27"/>
                <w:szCs w:val="27"/>
              </w:rPr>
            </w:pPr>
          </w:p>
        </w:tc>
      </w:tr>
    </w:tbl>
    <w:p w14:paraId="5C901FF8" w14:textId="77777777" w:rsidR="00734405" w:rsidRDefault="00734405" w:rsidP="007B6EB6">
      <w:r>
        <w:t>7月11日，新款领克03+上市，新车共推2款，售价区间为19.88万-22.88万元。</w:t>
      </w:r>
    </w:p>
    <w:p w14:paraId="20274D14" w14:textId="77777777" w:rsidR="00734405" w:rsidRDefault="00734405" w:rsidP="007B6EB6">
      <w:r>
        <w:rPr>
          <w:rFonts w:hint="eastAsia"/>
        </w:rPr>
        <w:t>外观方面，新车与老款车型基本保持一致。</w:t>
      </w:r>
    </w:p>
    <w:p w14:paraId="1EC4C5E5" w14:textId="77777777" w:rsidR="00734405" w:rsidRDefault="00734405" w:rsidP="007B6EB6">
      <w:r>
        <w:rPr>
          <w:rFonts w:hint="eastAsia"/>
        </w:rPr>
        <w:t>配置方面，新车升级车机系统、胎压监测、全景影像等。</w:t>
      </w:r>
    </w:p>
    <w:p w14:paraId="7DE89C8F" w14:textId="77777777" w:rsidR="00734405" w:rsidRDefault="00734405" w:rsidP="007B6EB6">
      <w:r>
        <w:rPr>
          <w:rFonts w:hint="eastAsia"/>
        </w:rPr>
        <w:t>动力方面，新车搭载</w:t>
      </w:r>
      <w:r>
        <w:t>1.5T，2.0T发动机，匹配8TIP变速箱。</w:t>
      </w:r>
    </w:p>
    <w:p w14:paraId="5FCB06E5" w14:textId="5D7A96A2" w:rsidR="00734405" w:rsidRDefault="00734405" w:rsidP="007B6EB6">
      <w:pPr>
        <w:rPr>
          <w:rFonts w:cs="宋体"/>
          <w:b/>
          <w:bCs/>
          <w:i/>
          <w:iCs/>
        </w:rPr>
      </w:pPr>
      <w:r w:rsidRPr="007654C2">
        <w:rPr>
          <w:rFonts w:cs="宋体" w:hint="eastAsia"/>
          <w:b/>
          <w:bCs/>
          <w:i/>
          <w:iCs/>
        </w:rPr>
        <w:t>分析：。</w:t>
      </w:r>
    </w:p>
    <w:p w14:paraId="42F1B791" w14:textId="77777777" w:rsidR="008B692A" w:rsidRDefault="008B692A" w:rsidP="007B6EB6">
      <w:pPr>
        <w:rPr>
          <w:rFonts w:cs="宋体"/>
          <w:b/>
          <w:bCs/>
          <w:i/>
          <w:iCs/>
        </w:rPr>
      </w:pPr>
    </w:p>
    <w:p w14:paraId="7053536D" w14:textId="77777777" w:rsidR="007B6EB6" w:rsidRPr="00DA5660" w:rsidRDefault="007B6EB6" w:rsidP="007B6EB6">
      <w:pPr>
        <w:pStyle w:val="a8"/>
        <w:numPr>
          <w:ilvl w:val="0"/>
          <w:numId w:val="14"/>
        </w:numPr>
        <w:ind w:firstLineChars="0"/>
        <w:outlineLvl w:val="0"/>
        <w:rPr>
          <w:b/>
        </w:rPr>
      </w:pPr>
      <w:r w:rsidRPr="00C97499">
        <w:rPr>
          <w:rFonts w:cs="宋体" w:hint="eastAsia"/>
          <w:b/>
          <w:bCs/>
        </w:rPr>
        <w:t>宏观经济与政策</w:t>
      </w:r>
    </w:p>
    <w:p w14:paraId="47B47049" w14:textId="77777777" w:rsidR="00734405" w:rsidRPr="0069461D" w:rsidRDefault="00734405" w:rsidP="007B6EB6">
      <w:pPr>
        <w:pStyle w:val="a8"/>
        <w:numPr>
          <w:ilvl w:val="0"/>
          <w:numId w:val="15"/>
        </w:numPr>
        <w:ind w:firstLineChars="0"/>
        <w:outlineLvl w:val="1"/>
        <w:rPr>
          <w:b/>
        </w:rPr>
      </w:pPr>
      <w:r w:rsidRPr="0069461D">
        <w:rPr>
          <w:rFonts w:hint="eastAsia"/>
          <w:b/>
        </w:rPr>
        <w:t>国资委：上半年央企净利润同比增长</w:t>
      </w:r>
      <w:r w:rsidRPr="0069461D">
        <w:rPr>
          <w:b/>
        </w:rPr>
        <w:t>133.3%</w:t>
      </w:r>
    </w:p>
    <w:p w14:paraId="70448BBD" w14:textId="77777777" w:rsidR="00734405" w:rsidRDefault="00734405" w:rsidP="007B6EB6">
      <w:r>
        <w:t>今年上半年中央企业实现营业收入17.1万亿元、利润总额1.31万亿元、净利润1.02万亿元，同比增长分别达28.2%、116.7%、133.3%，两年平均增速分别达8.7%、17.9%、20.6%。</w:t>
      </w:r>
    </w:p>
    <w:p w14:paraId="10B1CF18" w14:textId="77777777" w:rsidR="00734405" w:rsidRDefault="00734405" w:rsidP="007B6EB6">
      <w:pPr>
        <w:rPr>
          <w:rFonts w:cs="宋体"/>
          <w:b/>
          <w:bCs/>
          <w:i/>
          <w:iCs/>
        </w:rPr>
      </w:pPr>
      <w:r w:rsidRPr="0029395C">
        <w:rPr>
          <w:rFonts w:cs="宋体" w:hint="eastAsia"/>
          <w:b/>
          <w:bCs/>
          <w:i/>
          <w:iCs/>
        </w:rPr>
        <w:t>分析：。</w:t>
      </w:r>
    </w:p>
    <w:p w14:paraId="106281E5" w14:textId="77777777" w:rsidR="00734405" w:rsidRPr="0069461D" w:rsidRDefault="00734405" w:rsidP="007B6EB6">
      <w:pPr>
        <w:pStyle w:val="a8"/>
        <w:numPr>
          <w:ilvl w:val="0"/>
          <w:numId w:val="15"/>
        </w:numPr>
        <w:ind w:firstLineChars="0"/>
        <w:outlineLvl w:val="1"/>
        <w:rPr>
          <w:b/>
        </w:rPr>
      </w:pPr>
      <w:r w:rsidRPr="0069461D">
        <w:rPr>
          <w:rFonts w:hint="eastAsia"/>
          <w:b/>
        </w:rPr>
        <w:t>海关总署：上半年外贸货物贸易进出口同比增长</w:t>
      </w:r>
      <w:r w:rsidRPr="0069461D">
        <w:rPr>
          <w:b/>
        </w:rPr>
        <w:t>27.1%</w:t>
      </w:r>
    </w:p>
    <w:p w14:paraId="2E1DEE2E" w14:textId="77777777" w:rsidR="00734405" w:rsidRDefault="00734405" w:rsidP="007B6EB6">
      <w:r>
        <w:t>今年上半年我国货物贸易进出口总值18.07万亿元人民币，比去年同期增长27.1%。其中，出口9.85万亿元，增长28.1%；进口8.22万亿元，增长25.9%。</w:t>
      </w:r>
    </w:p>
    <w:p w14:paraId="4D473932" w14:textId="77777777" w:rsidR="00734405" w:rsidRDefault="00734405" w:rsidP="007B6EB6">
      <w:pPr>
        <w:rPr>
          <w:rFonts w:cs="宋体"/>
          <w:b/>
          <w:bCs/>
          <w:i/>
          <w:iCs/>
        </w:rPr>
      </w:pPr>
      <w:r w:rsidRPr="0029395C">
        <w:rPr>
          <w:rFonts w:cs="宋体" w:hint="eastAsia"/>
          <w:b/>
          <w:bCs/>
          <w:i/>
          <w:iCs/>
        </w:rPr>
        <w:t>分析：。</w:t>
      </w:r>
    </w:p>
    <w:p w14:paraId="3B1DA207" w14:textId="718F1378" w:rsidR="001D0350" w:rsidRPr="008B692A" w:rsidRDefault="008B692A" w:rsidP="008B692A">
      <w:pPr>
        <w:outlineLvl w:val="1"/>
        <w:rPr>
          <w:b/>
        </w:rPr>
      </w:pPr>
      <w:r>
        <w:rPr>
          <w:rFonts w:hint="eastAsia"/>
          <w:b/>
        </w:rPr>
        <w:t>3.</w:t>
      </w:r>
      <w:r w:rsidR="001D0350" w:rsidRPr="008B692A">
        <w:rPr>
          <w:rFonts w:hint="eastAsia"/>
          <w:b/>
        </w:rPr>
        <w:t>《网络安全审查办法》拟进行修订</w:t>
      </w:r>
    </w:p>
    <w:p w14:paraId="7ADDC34E" w14:textId="77777777" w:rsidR="001D0350" w:rsidRDefault="001D0350" w:rsidP="001D0350">
      <w:r>
        <w:t>7月10日，国家互联网信息办公室就《网络安全审查办法（修订草案征求意见稿）》公开征求意见，提出掌握超过100万用户个人信息的运营者赴国外上市，必须向网络安全审查办公室申报网络安全审查。</w:t>
      </w:r>
    </w:p>
    <w:p w14:paraId="289A733C" w14:textId="77777777" w:rsidR="001D0350" w:rsidRDefault="001D0350" w:rsidP="001D0350">
      <w:pPr>
        <w:rPr>
          <w:rFonts w:cs="宋体"/>
          <w:b/>
          <w:bCs/>
          <w:i/>
          <w:iCs/>
        </w:rPr>
      </w:pPr>
      <w:r w:rsidRPr="00272A7B">
        <w:rPr>
          <w:rFonts w:cs="宋体" w:hint="eastAsia"/>
          <w:b/>
          <w:bCs/>
          <w:i/>
          <w:iCs/>
        </w:rPr>
        <w:t>分析：。</w:t>
      </w:r>
    </w:p>
    <w:p w14:paraId="48438DDA" w14:textId="4A7E80BE" w:rsidR="001D0350" w:rsidRPr="008B692A" w:rsidRDefault="008B692A" w:rsidP="008B692A">
      <w:pPr>
        <w:outlineLvl w:val="1"/>
        <w:rPr>
          <w:b/>
        </w:rPr>
      </w:pPr>
      <w:r>
        <w:rPr>
          <w:rFonts w:hint="eastAsia"/>
          <w:b/>
        </w:rPr>
        <w:t>4.</w:t>
      </w:r>
      <w:r w:rsidR="001D0350" w:rsidRPr="008B692A">
        <w:rPr>
          <w:rFonts w:hint="eastAsia"/>
          <w:b/>
        </w:rPr>
        <w:t>三部门印发网络产品安全漏洞管理规定</w:t>
      </w:r>
    </w:p>
    <w:p w14:paraId="62A5C1DB" w14:textId="77777777" w:rsidR="001D0350" w:rsidRDefault="001D0350" w:rsidP="001D0350">
      <w:r>
        <w:t>7月13日，工信部、网信办、公安部联合印发《网络产品安全漏洞管理规定》，旨在维护国家网络安全，保护网络产品和重要网络系统的安全稳定运行；规范漏洞发现、报告、修补和发布等行为，明确网络产品提供者、网络运营者，以及从事漏洞发现、收集、发布等活动的组织或个人等各类主体的责任和义务；鼓励各类主体发挥各自技术和机制优势开展漏洞发现、收集、发布等相关工作，自9月1日起施行。</w:t>
      </w:r>
    </w:p>
    <w:p w14:paraId="0C0ACA59" w14:textId="77777777" w:rsidR="001D0350" w:rsidRDefault="001D0350" w:rsidP="001D0350">
      <w:pPr>
        <w:rPr>
          <w:rFonts w:cs="宋体"/>
          <w:b/>
          <w:bCs/>
          <w:i/>
          <w:iCs/>
        </w:rPr>
      </w:pPr>
      <w:r w:rsidRPr="00272A7B">
        <w:rPr>
          <w:rFonts w:cs="宋体" w:hint="eastAsia"/>
          <w:b/>
          <w:bCs/>
          <w:i/>
          <w:iCs/>
        </w:rPr>
        <w:t>分析：。</w:t>
      </w:r>
    </w:p>
    <w:p w14:paraId="15017F5E" w14:textId="381405DD" w:rsidR="001D0350" w:rsidRPr="008B692A" w:rsidRDefault="008B692A" w:rsidP="008B692A">
      <w:pPr>
        <w:outlineLvl w:val="1"/>
        <w:rPr>
          <w:b/>
        </w:rPr>
      </w:pPr>
      <w:r>
        <w:rPr>
          <w:rFonts w:hint="eastAsia"/>
          <w:b/>
        </w:rPr>
        <w:t>5.</w:t>
      </w:r>
      <w:r w:rsidR="001D0350" w:rsidRPr="008B692A">
        <w:rPr>
          <w:rFonts w:hint="eastAsia"/>
          <w:b/>
        </w:rPr>
        <w:t>北京电动三四轮车新规出台，违规车辆退出时间明确</w:t>
      </w:r>
    </w:p>
    <w:p w14:paraId="757FF41D" w14:textId="77777777" w:rsidR="001D0350" w:rsidRDefault="001D0350" w:rsidP="001D0350">
      <w:r>
        <w:t>7月12日，北京市公安局、市交通委员会、市商务局、市城市管理委员会、市市场监督管理局联合发布了《关于加强违规电动三四轮车管理的通告》，明确了全市在用车辆管理及退出政策，推动电动三四轮车违法违规乱象从根本上得到治理，对《通告》发布前购买的违规电动三、四轮车设置过渡期，过渡期截至2023年12月31日。</w:t>
      </w:r>
    </w:p>
    <w:p w14:paraId="48C4FADD" w14:textId="77777777" w:rsidR="001D0350" w:rsidRPr="0069461D" w:rsidRDefault="001D0350" w:rsidP="001D0350">
      <w:pPr>
        <w:rPr>
          <w:rFonts w:cs="宋体"/>
          <w:b/>
          <w:bCs/>
          <w:i/>
          <w:iCs/>
        </w:rPr>
      </w:pPr>
      <w:r w:rsidRPr="00272A7B">
        <w:rPr>
          <w:rFonts w:cs="宋体" w:hint="eastAsia"/>
          <w:b/>
          <w:bCs/>
          <w:i/>
          <w:iCs/>
        </w:rPr>
        <w:t>分析：。</w:t>
      </w:r>
    </w:p>
    <w:p w14:paraId="47D8D3B7" w14:textId="4046ACE0" w:rsidR="001D0350" w:rsidRPr="008B692A" w:rsidRDefault="008B692A" w:rsidP="008B692A">
      <w:pPr>
        <w:outlineLvl w:val="1"/>
        <w:rPr>
          <w:b/>
        </w:rPr>
      </w:pPr>
      <w:r>
        <w:rPr>
          <w:rFonts w:hint="eastAsia"/>
          <w:b/>
        </w:rPr>
        <w:t>6</w:t>
      </w:r>
      <w:r>
        <w:rPr>
          <w:b/>
        </w:rPr>
        <w:t>.</w:t>
      </w:r>
      <w:r w:rsidR="001D0350" w:rsidRPr="008B692A">
        <w:rPr>
          <w:rFonts w:hint="eastAsia"/>
          <w:b/>
        </w:rPr>
        <w:t>北京市发布“京</w:t>
      </w:r>
      <w:r w:rsidR="001D0350" w:rsidRPr="008B692A">
        <w:rPr>
          <w:b/>
        </w:rPr>
        <w:t>6B”车用油品地方标准</w:t>
      </w:r>
    </w:p>
    <w:p w14:paraId="643EEEBE" w14:textId="77777777" w:rsidR="001D0350" w:rsidRDefault="001D0350" w:rsidP="001D0350">
      <w:r>
        <w:t>7月7日，经市政府批准，市生态环境局、市市场监督管理局联合发布了《车用汽油环保技术要求》和《车用柴油环保技术要求》两项强制性地方标准（简称“京6B”油品标准），将于2021年12月1日起实施。“京6B”油品标准进一步加严了汽油烯烃、芳烃和馏程限值，以及柴油多环芳烃、馏程限值，并新增了部分有害物质限值。</w:t>
      </w:r>
    </w:p>
    <w:p w14:paraId="5D59D201" w14:textId="77777777" w:rsidR="001D0350" w:rsidRPr="00DC7999" w:rsidRDefault="001D0350" w:rsidP="001D0350">
      <w:pPr>
        <w:rPr>
          <w:rFonts w:cs="宋体"/>
          <w:b/>
          <w:bCs/>
          <w:i/>
          <w:iCs/>
        </w:rPr>
      </w:pPr>
      <w:r w:rsidRPr="00272A7B">
        <w:rPr>
          <w:rFonts w:cs="宋体" w:hint="eastAsia"/>
          <w:b/>
          <w:bCs/>
          <w:i/>
          <w:iCs/>
        </w:rPr>
        <w:t>分析：。</w:t>
      </w:r>
    </w:p>
    <w:p w14:paraId="59DA482E" w14:textId="6DB849E1" w:rsidR="001D0350" w:rsidRPr="008B692A" w:rsidRDefault="008B692A" w:rsidP="008B692A">
      <w:pPr>
        <w:outlineLvl w:val="1"/>
        <w:rPr>
          <w:b/>
        </w:rPr>
      </w:pPr>
      <w:r>
        <w:rPr>
          <w:rFonts w:hint="eastAsia"/>
          <w:b/>
        </w:rPr>
        <w:t>7</w:t>
      </w:r>
      <w:r>
        <w:rPr>
          <w:b/>
        </w:rPr>
        <w:t>.</w:t>
      </w:r>
      <w:r w:rsidR="001D0350" w:rsidRPr="008B692A">
        <w:rPr>
          <w:rFonts w:hint="eastAsia"/>
          <w:b/>
        </w:rPr>
        <w:t>发改委等多部门</w:t>
      </w:r>
      <w:r w:rsidR="001D0350" w:rsidRPr="008B692A">
        <w:rPr>
          <w:b/>
        </w:rPr>
        <w:t>:规范发展二手商品市场</w:t>
      </w:r>
    </w:p>
    <w:p w14:paraId="260FE20E" w14:textId="77777777" w:rsidR="001D0350" w:rsidRDefault="001D0350" w:rsidP="001D0350">
      <w:r w:rsidRPr="00B75D2C">
        <w:rPr>
          <w:rFonts w:hint="eastAsia"/>
        </w:rPr>
        <w:t>发改委等多部门印发“十四五”循环经济发展规划的通知，其中提出，规范发展二手商品市场。完善二手商品流通法规，建立完善车辆、家电、手机等二手商品鉴定、评估、分级等标准，规范二手商品流通秩序和交易行为。鼓励“互联网</w:t>
      </w:r>
      <w:r w:rsidRPr="00B75D2C">
        <w:t>+二手”模式发展，强化互联网交易平台管理责任，加强交易行为监管，为二手商品交易提供标准化、规范化服务，鼓励平台企业引入第三方二手商品专业经营商户，提高二手商品交易效率。</w:t>
      </w:r>
    </w:p>
    <w:p w14:paraId="4A6008A7" w14:textId="77777777" w:rsidR="001D0350" w:rsidRPr="0064403F" w:rsidRDefault="001D0350" w:rsidP="001D0350">
      <w:pPr>
        <w:rPr>
          <w:rFonts w:cs="宋体"/>
          <w:b/>
          <w:bCs/>
          <w:i/>
          <w:iCs/>
        </w:rPr>
      </w:pPr>
      <w:r w:rsidRPr="00272A7B">
        <w:rPr>
          <w:rFonts w:cs="宋体" w:hint="eastAsia"/>
          <w:b/>
          <w:bCs/>
          <w:i/>
          <w:iCs/>
        </w:rPr>
        <w:t>分析：。</w:t>
      </w:r>
    </w:p>
    <w:p w14:paraId="6138D924" w14:textId="45B858A1" w:rsidR="001D0350" w:rsidRPr="008B692A" w:rsidRDefault="008B692A" w:rsidP="008B692A">
      <w:pPr>
        <w:outlineLvl w:val="1"/>
        <w:rPr>
          <w:b/>
        </w:rPr>
      </w:pPr>
      <w:r>
        <w:rPr>
          <w:rFonts w:hint="eastAsia"/>
          <w:b/>
        </w:rPr>
        <w:t>8</w:t>
      </w:r>
      <w:r>
        <w:rPr>
          <w:b/>
        </w:rPr>
        <w:t>.</w:t>
      </w:r>
      <w:r w:rsidR="001D0350" w:rsidRPr="008B692A">
        <w:rPr>
          <w:rFonts w:hint="eastAsia"/>
          <w:b/>
        </w:rPr>
        <w:t>上海发布生活数字化转型三年行动方案</w:t>
      </w:r>
    </w:p>
    <w:p w14:paraId="5CEF1830" w14:textId="77777777" w:rsidR="001D0350" w:rsidRDefault="001D0350" w:rsidP="001D0350">
      <w:r w:rsidRPr="00DF7276">
        <w:t>7月10日在2021世界人工智能大会闭幕式上，上海市城市数字化转型工作领导小组办公室发布了《推进上海生活数字化转型构建高品质数字生活行动方案（2021—2023年）》。其中提出，到2023年，上海建成至少50个生活数字化转型标杆场景，推动上海建设成为全球数字生活的新兴技术试验场、模式创新先行区、智能体验未来城；新建电动汽车充电桩超过5万个，新建智能快件箱1.2万组；建设数字化转型示范医院30家，数字校园覆盖超过90%，数字为老一键通服务实现困难老人全覆盖，数字酒店超过1000家等。</w:t>
      </w:r>
    </w:p>
    <w:p w14:paraId="5B7FC8AC" w14:textId="77777777" w:rsidR="001D0350" w:rsidRDefault="001D0350" w:rsidP="001D0350">
      <w:pPr>
        <w:rPr>
          <w:rFonts w:cs="宋体"/>
          <w:b/>
          <w:bCs/>
          <w:i/>
          <w:iCs/>
        </w:rPr>
      </w:pPr>
      <w:r w:rsidRPr="00272A7B">
        <w:rPr>
          <w:rFonts w:cs="宋体" w:hint="eastAsia"/>
          <w:b/>
          <w:bCs/>
          <w:i/>
          <w:iCs/>
        </w:rPr>
        <w:t>分析：。</w:t>
      </w:r>
    </w:p>
    <w:p w14:paraId="50424327" w14:textId="5B901F6F" w:rsidR="001D0350" w:rsidRPr="008B692A" w:rsidRDefault="008B692A" w:rsidP="008B692A">
      <w:pPr>
        <w:outlineLvl w:val="1"/>
        <w:rPr>
          <w:b/>
        </w:rPr>
      </w:pPr>
      <w:r>
        <w:rPr>
          <w:rFonts w:hint="eastAsia"/>
          <w:b/>
        </w:rPr>
        <w:t>9</w:t>
      </w:r>
      <w:r>
        <w:rPr>
          <w:b/>
        </w:rPr>
        <w:t>.</w:t>
      </w:r>
      <w:r w:rsidR="001D0350" w:rsidRPr="008B692A">
        <w:rPr>
          <w:rFonts w:hint="eastAsia"/>
          <w:b/>
        </w:rPr>
        <w:t>上海十四五规划</w:t>
      </w:r>
      <w:r w:rsidR="001D0350" w:rsidRPr="008B692A">
        <w:rPr>
          <w:b/>
        </w:rPr>
        <w:t>2025年实现万亿级汽车产业</w:t>
      </w:r>
    </w:p>
    <w:p w14:paraId="191712C0" w14:textId="77777777" w:rsidR="001D0350" w:rsidRDefault="001D0350" w:rsidP="001D0350">
      <w:r>
        <w:t>7月14日，上海市人民政府办公厅印发《上海市先进制造业发展“十四五”规划》。规划提出，将重点发展新能源汽车、智能网联汽车、整车及零部件等制造领域，延伸发展智慧出行、汽车金融等服务领域。</w:t>
      </w:r>
    </w:p>
    <w:p w14:paraId="25371297" w14:textId="77777777" w:rsidR="001D0350" w:rsidRDefault="001D0350" w:rsidP="001D0350">
      <w:r>
        <w:rPr>
          <w:rFonts w:hint="eastAsia"/>
        </w:rPr>
        <w:t>抓住全球汽车产业变革调整的窗口期和机遇期，推动汽车产业新能源化、智联化、共享化、国际化、品牌化发展，提升研发设计、试验试制、智能制造、出行服务等全产业链能级；支持本市汽车龙头企业加快战略转型，增强自主品牌核心竞争力，拓展国际主流市场，培育壮大新势力车企；促进汽车与</w:t>
      </w:r>
      <w:r>
        <w:t>5G通信、物联网、智能交通等融合发展，实现万亿级产业规模，着力打造世界级汽车产业中心。</w:t>
      </w:r>
    </w:p>
    <w:p w14:paraId="4CD0DF3B" w14:textId="77777777" w:rsidR="001D0350" w:rsidRDefault="001D0350" w:rsidP="001D0350">
      <w:pPr>
        <w:rPr>
          <w:rFonts w:cs="宋体"/>
          <w:b/>
          <w:bCs/>
          <w:i/>
          <w:iCs/>
        </w:rPr>
      </w:pPr>
      <w:r w:rsidRPr="00272A7B">
        <w:rPr>
          <w:rFonts w:cs="宋体" w:hint="eastAsia"/>
          <w:b/>
          <w:bCs/>
          <w:i/>
          <w:iCs/>
        </w:rPr>
        <w:t>分析：。</w:t>
      </w:r>
    </w:p>
    <w:p w14:paraId="0410B301" w14:textId="382AFFCD" w:rsidR="001D0350" w:rsidRPr="008B692A" w:rsidRDefault="008B692A" w:rsidP="008B692A">
      <w:pPr>
        <w:outlineLvl w:val="1"/>
        <w:rPr>
          <w:b/>
        </w:rPr>
      </w:pPr>
      <w:r>
        <w:rPr>
          <w:rFonts w:hint="eastAsia"/>
          <w:b/>
        </w:rPr>
        <w:t>1</w:t>
      </w:r>
      <w:r>
        <w:rPr>
          <w:b/>
        </w:rPr>
        <w:t>0.</w:t>
      </w:r>
      <w:r w:rsidR="001D0350" w:rsidRPr="008B692A">
        <w:rPr>
          <w:rFonts w:hint="eastAsia"/>
          <w:b/>
        </w:rPr>
        <w:t>十部门关于印发《</w:t>
      </w:r>
      <w:r w:rsidR="001D0350" w:rsidRPr="008B692A">
        <w:rPr>
          <w:b/>
        </w:rPr>
        <w:t>5G应用“扬帆”行动计划（2021-2023年）》的通知</w:t>
      </w:r>
    </w:p>
    <w:p w14:paraId="0FAFD54E" w14:textId="77777777" w:rsidR="001D0350" w:rsidRDefault="001D0350" w:rsidP="001D0350">
      <w:r>
        <w:t>7月12日，工信部等十部门印发《5G应用“扬帆”行动计划（2021-2023年）》的通知。</w:t>
      </w:r>
    </w:p>
    <w:p w14:paraId="6796BDB1" w14:textId="77777777" w:rsidR="001D0350" w:rsidRDefault="001D0350" w:rsidP="001D0350">
      <w:r>
        <w:rPr>
          <w:rFonts w:hint="eastAsia"/>
        </w:rPr>
        <w:t>各省、自治区、直辖市及计划单列市工业和信息化主管部门、通信管理局、党委网信办、发展改革委、教育厅（局，教委）、文化和旅游厅（局）、卫生健康委、财政厅（局）、住房和城乡建设厅（局、委）、能源局，新疆生产建设兵团工业和信息化主管部门、党委网信办、发展改革委、教育局、文化体育广电和旅游局、财政局、住房和城乡建设局、能源局，各地高等院校，各中央企业，各相关单位：</w:t>
      </w:r>
    </w:p>
    <w:p w14:paraId="1CF81D86" w14:textId="77777777" w:rsidR="001D0350" w:rsidRDefault="001D0350" w:rsidP="001D0350">
      <w:r>
        <w:rPr>
          <w:rFonts w:hint="eastAsia"/>
        </w:rPr>
        <w:t>现将《</w:t>
      </w:r>
      <w:r>
        <w:t>5G应用“扬帆”行动计划（2021-2023年）》印发给你们，请结合实际认真贯彻落实。</w:t>
      </w:r>
    </w:p>
    <w:p w14:paraId="75915892" w14:textId="77777777" w:rsidR="001D0350" w:rsidRDefault="001D0350" w:rsidP="001D0350">
      <w:r>
        <w:rPr>
          <w:rFonts w:hint="eastAsia"/>
        </w:rPr>
        <w:t>总体要求、赋能</w:t>
      </w:r>
      <w:r>
        <w:t>5G应用重点领域的主要内容中与汽车行业相关的有：</w:t>
      </w:r>
    </w:p>
    <w:p w14:paraId="63FFD066" w14:textId="77777777" w:rsidR="001D0350" w:rsidRDefault="001D0350" w:rsidP="001D0350">
      <w:r>
        <w:rPr>
          <w:rFonts w:hint="eastAsia"/>
        </w:rPr>
        <w:t>一、总体要求</w:t>
      </w:r>
    </w:p>
    <w:p w14:paraId="67EAC087" w14:textId="77777777" w:rsidR="001D0350" w:rsidRDefault="001D0350" w:rsidP="001D0350">
      <w:r>
        <w:rPr>
          <w:rFonts w:hint="eastAsia"/>
        </w:rPr>
        <w:t>（三）总体目标</w:t>
      </w:r>
    </w:p>
    <w:p w14:paraId="33E8F554" w14:textId="77777777" w:rsidR="001D0350" w:rsidRDefault="001D0350" w:rsidP="001D0350">
      <w:r>
        <w:rPr>
          <w:rFonts w:hint="eastAsia"/>
        </w:rPr>
        <w:t>——重点领域</w:t>
      </w:r>
      <w:r>
        <w:t>5G应用成效凸显。垂直行业领域，大型工业企业的5G应用渗透率超过35%，电力、采矿等领域5G应用实现规模化复制推广，5G+车联网试点范围进一步扩大，促进农业水利等传统行业数字化转型升级。</w:t>
      </w:r>
    </w:p>
    <w:p w14:paraId="0B185BC7" w14:textId="77777777" w:rsidR="001D0350" w:rsidRDefault="001D0350" w:rsidP="001D0350">
      <w:r>
        <w:rPr>
          <w:rFonts w:hint="eastAsia"/>
        </w:rPr>
        <w:t>三、赋能</w:t>
      </w:r>
      <w:r>
        <w:t>5G应用重点领域</w:t>
      </w:r>
    </w:p>
    <w:p w14:paraId="4085A6FA" w14:textId="77777777" w:rsidR="001D0350" w:rsidRDefault="001D0350" w:rsidP="001D0350">
      <w:r>
        <w:rPr>
          <w:rFonts w:hint="eastAsia"/>
        </w:rPr>
        <w:t>（二）行业融合应用深化行动</w:t>
      </w:r>
    </w:p>
    <w:p w14:paraId="62639BCF" w14:textId="77777777" w:rsidR="001D0350" w:rsidRDefault="001D0350" w:rsidP="001D0350">
      <w:r>
        <w:t>9.5G+工业互联网。推进5G模组与AR/VR、远程操控设备、机器视觉、AGV等工业终端的深度融合，加快利用5G改造工业内网，打造5G全连接工厂标杆，形成信息技术网络与生产控制网络融合的网络部署模式，推动“5G+工业互联网”服务于生产核心环节。围绕研发设计、生产制造、运营管理、产品服务等环节，聚焦“5G+工业互联网”发展重点行业，打造典型应用场景，持续开展“5G+工业互联网”试点示范，支持5G在质量检测、远程运维、多机协同作业、人机交互等智能制造领域的深化应用，不断强化示范引领，推动成熟模式在更多行业和领</w:t>
      </w:r>
      <w:r>
        <w:rPr>
          <w:rFonts w:hint="eastAsia"/>
        </w:rPr>
        <w:t>域复制推广。打造产业生态，推广区域应用，鼓励各地建设“</w:t>
      </w:r>
      <w:r>
        <w:t>5G+工业互联网”融合应用先导区，不断拓展5G在原材料、装备、消费品、电子等领域的应用。</w:t>
      </w:r>
    </w:p>
    <w:p w14:paraId="225D4FFC" w14:textId="77777777" w:rsidR="001D0350" w:rsidRDefault="001D0350" w:rsidP="001D0350">
      <w:r>
        <w:t>10.5G+车联网。强化汽车、通信、交通等行业的协同，加强政府、行业组织和企业间联系，共同建立完备的5G与车联网测试评估体系，保障应用的端到端互联互通。提炼可规模化推广、具备商业化闭环的典型应用场景，提升用户接受程度。加快提升C-V2X通信模块的车载渗透率和路侧部署。加快探索商业模式和应用场景，支持创建国家级车联网先导区，推动车联网基础设施与5G网络协同规划建设，选择重点城市典型区域、合适路段以及高速公路重点路段等，加快5G+车联网部署，推广C-V2X技术在园区、机场、港区、矿山等区域的创新应用。建立跨行</w:t>
      </w:r>
      <w:r>
        <w:rPr>
          <w:rFonts w:hint="eastAsia"/>
        </w:rPr>
        <w:t>业、跨区域互信互认的车联网安全通信体系。</w:t>
      </w:r>
    </w:p>
    <w:p w14:paraId="70D22CB8" w14:textId="77777777" w:rsidR="001D0350" w:rsidRPr="00A91C3D" w:rsidRDefault="001D0350" w:rsidP="001D0350">
      <w:pPr>
        <w:rPr>
          <w:rFonts w:cs="宋体"/>
          <w:b/>
          <w:bCs/>
          <w:i/>
          <w:iCs/>
        </w:rPr>
      </w:pPr>
      <w:r w:rsidRPr="00272A7B">
        <w:rPr>
          <w:rFonts w:cs="宋体" w:hint="eastAsia"/>
          <w:b/>
          <w:bCs/>
          <w:i/>
          <w:iCs/>
        </w:rPr>
        <w:t>分析：。</w:t>
      </w:r>
    </w:p>
    <w:p w14:paraId="4A0A7532" w14:textId="3FDC3CF8" w:rsidR="001D0350" w:rsidRPr="008B692A" w:rsidRDefault="008B692A" w:rsidP="008B692A">
      <w:pPr>
        <w:outlineLvl w:val="1"/>
        <w:rPr>
          <w:b/>
        </w:rPr>
      </w:pPr>
      <w:r>
        <w:rPr>
          <w:rFonts w:hint="eastAsia"/>
          <w:b/>
        </w:rPr>
        <w:t>1</w:t>
      </w:r>
      <w:r>
        <w:rPr>
          <w:b/>
        </w:rPr>
        <w:t>1.</w:t>
      </w:r>
      <w:r w:rsidR="001D0350" w:rsidRPr="008B692A">
        <w:rPr>
          <w:rFonts w:hint="eastAsia"/>
          <w:b/>
        </w:rPr>
        <w:t>四川资阳</w:t>
      </w:r>
      <w:r w:rsidR="001D0350" w:rsidRPr="008B692A">
        <w:rPr>
          <w:b/>
        </w:rPr>
        <w:t>:最高100万元加氢站运营补贴</w:t>
      </w:r>
    </w:p>
    <w:p w14:paraId="0E3EDDCD" w14:textId="77777777" w:rsidR="001D0350" w:rsidRDefault="001D0350" w:rsidP="001D0350">
      <w:r w:rsidRPr="00B75D2C">
        <w:rPr>
          <w:rFonts w:hint="eastAsia"/>
        </w:rPr>
        <w:t>四川资阳市经济和信息化局发布《资阳市工业经济高质量发展政策措施（征求意见稿》，其中提及对市内企业新开发的纯电动汽车和氢燃料电池汽车产品，进入工业和信息化部《新能源汽车推广应用推荐车型目录》，且在进入目录后一年时间内销量分别达到</w:t>
      </w:r>
      <w:r w:rsidRPr="00B75D2C">
        <w:t>50辆、5辆及以上的，分别给予5000元/辆、10000元/辆的奖励，单个企业奖励最高不超过100万元。对新建日加氢能力≥500kg且＜1000kg的加氢站、≥1000kg的加氢站，分别给予50万元、100万元的一次性定额补助。对于建成运营的加氢站，按照年度累计加氢量，给予每千克10元、最高100万元的运营补贴。</w:t>
      </w:r>
    </w:p>
    <w:p w14:paraId="1CCFC4C3" w14:textId="77777777" w:rsidR="001D0350" w:rsidRDefault="001D0350" w:rsidP="001D0350">
      <w:pPr>
        <w:rPr>
          <w:rFonts w:cs="宋体"/>
          <w:b/>
          <w:bCs/>
          <w:i/>
          <w:iCs/>
        </w:rPr>
      </w:pPr>
      <w:r w:rsidRPr="00272A7B">
        <w:rPr>
          <w:rFonts w:cs="宋体" w:hint="eastAsia"/>
          <w:b/>
          <w:bCs/>
          <w:i/>
          <w:iCs/>
        </w:rPr>
        <w:t>分析：。</w:t>
      </w:r>
    </w:p>
    <w:p w14:paraId="69BC24A9" w14:textId="4041AF21" w:rsidR="001D0350" w:rsidRPr="008B692A" w:rsidRDefault="008B692A" w:rsidP="008B692A">
      <w:pPr>
        <w:outlineLvl w:val="1"/>
        <w:rPr>
          <w:b/>
        </w:rPr>
      </w:pPr>
      <w:r>
        <w:rPr>
          <w:rFonts w:hint="eastAsia"/>
          <w:b/>
        </w:rPr>
        <w:t>1</w:t>
      </w:r>
      <w:r>
        <w:rPr>
          <w:b/>
        </w:rPr>
        <w:t>2.</w:t>
      </w:r>
      <w:r w:rsidR="001D0350" w:rsidRPr="008B692A">
        <w:rPr>
          <w:b/>
        </w:rPr>
        <w:t>网约车管理暂行办法拟修订</w:t>
      </w:r>
      <w:r w:rsidR="001D0350" w:rsidRPr="008B692A">
        <w:rPr>
          <w:rFonts w:hint="eastAsia"/>
          <w:b/>
        </w:rPr>
        <w:t>罚款额降低</w:t>
      </w:r>
    </w:p>
    <w:p w14:paraId="71D74D98" w14:textId="77777777" w:rsidR="001D0350" w:rsidRDefault="001D0350" w:rsidP="001D0350">
      <w:r w:rsidRPr="008B58F8">
        <w:t>2021年7月12日，交通运输部起草了《关于修改&lt;道路运输车辆动态监督管理办法&gt;和&lt;网络预约出租汽车经营服务管理暂行办法&gt;的决定（征求意见稿）》。修改后的网约车管理暂行办法对此作出了调整，大幅下调了罚款额度，分别为：对未取得人证（网约车驾驶员证）的，处以200元以上2000元以下罚款；对未取得车证（车辆许可证）的，处以3000元以上1万元以下罚款。此外，对未取得网约车经营许可证的，处以1万元以上3万元以下罚款。</w:t>
      </w:r>
    </w:p>
    <w:p w14:paraId="6BC8B721" w14:textId="77777777" w:rsidR="001D0350" w:rsidRPr="0064403F" w:rsidRDefault="001D0350" w:rsidP="001D0350">
      <w:pPr>
        <w:rPr>
          <w:rFonts w:cs="宋体"/>
          <w:b/>
          <w:bCs/>
          <w:i/>
          <w:iCs/>
        </w:rPr>
      </w:pPr>
      <w:r w:rsidRPr="00272A7B">
        <w:rPr>
          <w:rFonts w:cs="宋体" w:hint="eastAsia"/>
          <w:b/>
          <w:bCs/>
          <w:i/>
          <w:iCs/>
        </w:rPr>
        <w:t>分析：。</w:t>
      </w:r>
    </w:p>
    <w:p w14:paraId="0E265105" w14:textId="6A6AD5C4" w:rsidR="001D0350" w:rsidRPr="008B692A" w:rsidRDefault="008B692A" w:rsidP="008B692A">
      <w:pPr>
        <w:outlineLvl w:val="1"/>
        <w:rPr>
          <w:b/>
        </w:rPr>
      </w:pPr>
      <w:r>
        <w:rPr>
          <w:rFonts w:hint="eastAsia"/>
          <w:b/>
        </w:rPr>
        <w:t>1</w:t>
      </w:r>
      <w:r>
        <w:rPr>
          <w:b/>
        </w:rPr>
        <w:t>3.</w:t>
      </w:r>
      <w:r w:rsidR="001D0350" w:rsidRPr="008B692A">
        <w:rPr>
          <w:b/>
        </w:rPr>
        <w:t>乌鲁木齐7月12日起将放宽皮卡通行限制</w:t>
      </w:r>
    </w:p>
    <w:p w14:paraId="6EFEF32C" w14:textId="77777777" w:rsidR="001D0350" w:rsidRDefault="001D0350" w:rsidP="001D0350">
      <w:r>
        <w:rPr>
          <w:rFonts w:hint="eastAsia"/>
        </w:rPr>
        <w:t>皮卡解禁又一城！近日，乌鲁木齐交警发布了一则通知：自</w:t>
      </w:r>
      <w:r>
        <w:t>2021年7月12日起放宽乌鲁木齐市皮卡车限行管理措施，皮卡限行时间大大缩短。</w:t>
      </w:r>
    </w:p>
    <w:p w14:paraId="45C3CE54" w14:textId="77777777" w:rsidR="001D0350" w:rsidRDefault="001D0350" w:rsidP="001D0350">
      <w:r>
        <w:rPr>
          <w:rFonts w:hint="eastAsia"/>
        </w:rPr>
        <w:t>为便利货运车辆通行，优化首府营商环境，根据《中华人民共和国道路交通安全法》和《关于乌鲁木齐市载货汽车限行措施的通告》（乌政通</w:t>
      </w:r>
      <w:r>
        <w:t>[2019]19号）第十一条的相关规定，决定自2021年7月12日起放宽乌鲁木齐市皮卡车限行管理措施。</w:t>
      </w:r>
    </w:p>
    <w:p w14:paraId="03CF435D" w14:textId="77777777" w:rsidR="001D0350" w:rsidRDefault="001D0350" w:rsidP="001D0350">
      <w:pPr>
        <w:rPr>
          <w:rFonts w:cs="宋体"/>
          <w:b/>
          <w:bCs/>
          <w:i/>
          <w:iCs/>
        </w:rPr>
      </w:pPr>
      <w:r w:rsidRPr="00272A7B">
        <w:rPr>
          <w:rFonts w:cs="宋体" w:hint="eastAsia"/>
          <w:b/>
          <w:bCs/>
          <w:i/>
          <w:iCs/>
        </w:rPr>
        <w:t>分析：。</w:t>
      </w:r>
    </w:p>
    <w:p w14:paraId="4157E7E7" w14:textId="0ED2A1A2" w:rsidR="001D0350" w:rsidRPr="008B692A" w:rsidRDefault="008B692A" w:rsidP="008B692A">
      <w:pPr>
        <w:outlineLvl w:val="1"/>
        <w:rPr>
          <w:b/>
        </w:rPr>
      </w:pPr>
      <w:r>
        <w:rPr>
          <w:rFonts w:hint="eastAsia"/>
          <w:b/>
        </w:rPr>
        <w:t>1</w:t>
      </w:r>
      <w:r>
        <w:rPr>
          <w:b/>
        </w:rPr>
        <w:t>4.</w:t>
      </w:r>
      <w:r w:rsidR="001D0350" w:rsidRPr="008B692A">
        <w:rPr>
          <w:rFonts w:hint="eastAsia"/>
          <w:b/>
        </w:rPr>
        <w:t>工信部发布新型数据中心发展三年行动计划</w:t>
      </w:r>
    </w:p>
    <w:p w14:paraId="64686DB2" w14:textId="77777777" w:rsidR="001D0350" w:rsidRDefault="001D0350" w:rsidP="001D0350">
      <w:r>
        <w:t>7月14日，工信部印发《新型数据中心发展三年行动计划（2021-2023年）》。其中提出，到2023年底，全国数据中心机架规模年均增速保持在20%左右，平均利用率力争提升到60%以上，总算力超过200EFLOPS，高性能算力占比达到10%。</w:t>
      </w:r>
    </w:p>
    <w:p w14:paraId="15452B45" w14:textId="77777777" w:rsidR="001D0350" w:rsidRDefault="001D0350" w:rsidP="001D0350">
      <w:pPr>
        <w:rPr>
          <w:rFonts w:cs="宋体"/>
          <w:b/>
          <w:bCs/>
          <w:i/>
          <w:iCs/>
        </w:rPr>
      </w:pPr>
      <w:r w:rsidRPr="00272A7B">
        <w:rPr>
          <w:rFonts w:cs="宋体" w:hint="eastAsia"/>
          <w:b/>
          <w:bCs/>
          <w:i/>
          <w:iCs/>
        </w:rPr>
        <w:t>分析：。</w:t>
      </w:r>
    </w:p>
    <w:p w14:paraId="1999B53C" w14:textId="2029A35F" w:rsidR="001D0350" w:rsidRPr="008B692A" w:rsidRDefault="008B692A" w:rsidP="008B692A">
      <w:pPr>
        <w:outlineLvl w:val="1"/>
        <w:rPr>
          <w:b/>
        </w:rPr>
      </w:pPr>
      <w:r>
        <w:rPr>
          <w:rFonts w:hint="eastAsia"/>
          <w:b/>
        </w:rPr>
        <w:t>1</w:t>
      </w:r>
      <w:r>
        <w:rPr>
          <w:b/>
        </w:rPr>
        <w:t>5.</w:t>
      </w:r>
      <w:r w:rsidR="001D0350" w:rsidRPr="008B692A">
        <w:rPr>
          <w:rFonts w:hint="eastAsia"/>
          <w:b/>
        </w:rPr>
        <w:t>关于《</w:t>
      </w:r>
      <w:r w:rsidR="001D0350" w:rsidRPr="008B692A">
        <w:rPr>
          <w:b/>
        </w:rPr>
        <w:t>5G应用“扬帆”行动计划》的通知</w:t>
      </w:r>
    </w:p>
    <w:p w14:paraId="38CA76FE" w14:textId="77777777" w:rsidR="001D0350" w:rsidRDefault="001D0350" w:rsidP="001D0350">
      <w:r w:rsidRPr="00B0435F">
        <w:rPr>
          <w:rFonts w:hint="eastAsia"/>
        </w:rPr>
        <w:t>国家十部委联合印发了关于《</w:t>
      </w:r>
      <w:r w:rsidRPr="00B0435F">
        <w:t>5G应用“扬帆”行动计划（2021-2023年）》的通知，并要求各相关单位结合实际认真贯彻落实。5G融合应用是促进经济社会数字化、网络化、智能化转型的重要引擎。为贯彻落实习近平总书记关于加快5G发展的重要指示精神和党中央、国务院决策部署，大力推动5G全面协同发展，深入推进5G赋能千行百业，促进形成“需求牵引供给，供给创造需求”的高水平发展模式，驱动生产方式、生活方式和治理方式升级，培育壮大经济社会发展新动能，特制订本计划。</w:t>
      </w:r>
    </w:p>
    <w:p w14:paraId="4A43D0F4" w14:textId="77777777" w:rsidR="001D0350" w:rsidRPr="009E5E1B" w:rsidRDefault="001D0350" w:rsidP="001D0350">
      <w:pPr>
        <w:rPr>
          <w:rFonts w:cs="宋体"/>
          <w:b/>
          <w:bCs/>
          <w:i/>
          <w:iCs/>
        </w:rPr>
      </w:pPr>
      <w:r w:rsidRPr="00272A7B">
        <w:rPr>
          <w:rFonts w:cs="宋体" w:hint="eastAsia"/>
          <w:b/>
          <w:bCs/>
          <w:i/>
          <w:iCs/>
        </w:rPr>
        <w:t>分析：。</w:t>
      </w:r>
    </w:p>
    <w:p w14:paraId="26B402F3" w14:textId="26FE00F1" w:rsidR="001D0350" w:rsidRPr="008B692A" w:rsidRDefault="008B692A" w:rsidP="008B692A">
      <w:pPr>
        <w:outlineLvl w:val="1"/>
        <w:rPr>
          <w:b/>
        </w:rPr>
      </w:pPr>
      <w:r>
        <w:rPr>
          <w:rFonts w:hint="eastAsia"/>
          <w:b/>
        </w:rPr>
        <w:t>1</w:t>
      </w:r>
      <w:r>
        <w:rPr>
          <w:b/>
        </w:rPr>
        <w:t>6.</w:t>
      </w:r>
      <w:r w:rsidR="001D0350" w:rsidRPr="008B692A">
        <w:rPr>
          <w:rFonts w:hint="eastAsia"/>
          <w:b/>
        </w:rPr>
        <w:t>广州启动自动驾驶混行试点</w:t>
      </w:r>
    </w:p>
    <w:p w14:paraId="62E1E3BD" w14:textId="77777777" w:rsidR="001D0350" w:rsidRDefault="001D0350" w:rsidP="001D0350">
      <w:r>
        <w:t>7月14日，广州市发布了《关于逐步分区域先行先试不同混行环境下智能网联汽车（自动驾驶）应用示范运营政策的意见》和《在不同混行环境下开展智能网联汽车（自动驾驶）应用示范运营的工作方案》两个政策文件，将在智能网联汽车产业现行发展基础上，启动自动驾驶混行试点。</w:t>
      </w:r>
    </w:p>
    <w:p w14:paraId="0EEAC419" w14:textId="77777777" w:rsidR="001D0350" w:rsidRPr="002D202F" w:rsidRDefault="001D0350" w:rsidP="001D0350">
      <w:pPr>
        <w:rPr>
          <w:rFonts w:cs="宋体"/>
          <w:b/>
          <w:bCs/>
          <w:i/>
          <w:iCs/>
        </w:rPr>
      </w:pPr>
      <w:r w:rsidRPr="00272A7B">
        <w:rPr>
          <w:rFonts w:cs="宋体" w:hint="eastAsia"/>
          <w:b/>
          <w:bCs/>
          <w:i/>
          <w:iCs/>
        </w:rPr>
        <w:t>分析：。</w:t>
      </w:r>
    </w:p>
    <w:p w14:paraId="406A0EE0" w14:textId="615D5452" w:rsidR="00734405" w:rsidRPr="008B692A" w:rsidRDefault="008B692A" w:rsidP="008B692A">
      <w:pPr>
        <w:outlineLvl w:val="1"/>
        <w:rPr>
          <w:b/>
        </w:rPr>
      </w:pPr>
      <w:r>
        <w:rPr>
          <w:rFonts w:hint="eastAsia"/>
          <w:b/>
        </w:rPr>
        <w:t>1</w:t>
      </w:r>
      <w:r>
        <w:rPr>
          <w:b/>
        </w:rPr>
        <w:t>7.</w:t>
      </w:r>
      <w:r w:rsidR="00734405" w:rsidRPr="008B692A">
        <w:rPr>
          <w:rFonts w:hint="eastAsia"/>
          <w:b/>
        </w:rPr>
        <w:t>统计局：</w:t>
      </w:r>
      <w:r w:rsidR="00734405" w:rsidRPr="008B692A">
        <w:rPr>
          <w:b/>
        </w:rPr>
        <w:t>6月份规模以上工业增加值增长8.3%</w:t>
      </w:r>
    </w:p>
    <w:p w14:paraId="3FC98DCD" w14:textId="77777777" w:rsidR="00734405" w:rsidRDefault="00734405" w:rsidP="007B6EB6">
      <w:r>
        <w:t>6月份，规模以上工业增加值同比实际增长8.3%，环比增长0.56%。1-6月份，规模以上工业增加值同比增长15.9%</w:t>
      </w:r>
    </w:p>
    <w:p w14:paraId="3251D6ED" w14:textId="77777777" w:rsidR="00734405" w:rsidRDefault="00734405" w:rsidP="007B6EB6">
      <w:pPr>
        <w:rPr>
          <w:rFonts w:cs="宋体"/>
          <w:b/>
          <w:bCs/>
          <w:i/>
          <w:iCs/>
        </w:rPr>
      </w:pPr>
      <w:r w:rsidRPr="0029395C">
        <w:rPr>
          <w:rFonts w:cs="宋体" w:hint="eastAsia"/>
          <w:b/>
          <w:bCs/>
          <w:i/>
          <w:iCs/>
        </w:rPr>
        <w:t>分析：。</w:t>
      </w:r>
    </w:p>
    <w:p w14:paraId="08AF19B1" w14:textId="725F1675" w:rsidR="00734405" w:rsidRPr="008B692A" w:rsidRDefault="008B692A" w:rsidP="008B692A">
      <w:pPr>
        <w:outlineLvl w:val="1"/>
        <w:rPr>
          <w:b/>
        </w:rPr>
      </w:pPr>
      <w:r>
        <w:rPr>
          <w:rFonts w:hint="eastAsia"/>
          <w:b/>
        </w:rPr>
        <w:t>1</w:t>
      </w:r>
      <w:r>
        <w:rPr>
          <w:b/>
        </w:rPr>
        <w:t>8.</w:t>
      </w:r>
      <w:r w:rsidR="00734405" w:rsidRPr="008B692A">
        <w:rPr>
          <w:rFonts w:hint="eastAsia"/>
          <w:b/>
        </w:rPr>
        <w:t>统计局：</w:t>
      </w:r>
      <w:r w:rsidR="00734405" w:rsidRPr="008B692A">
        <w:rPr>
          <w:b/>
        </w:rPr>
        <w:t>6月份社会消费品零售总额增长12.1%</w:t>
      </w:r>
    </w:p>
    <w:p w14:paraId="40795BBD" w14:textId="77777777" w:rsidR="00734405" w:rsidRDefault="00734405" w:rsidP="007B6EB6">
      <w:r>
        <w:t>6月份，社会消费品零售总额37,586亿元，同比增长12.1%,环比增长0.7%。其中，除汽车以外的消费品零售额33,719亿元，增长13.1%。1-6月份，社会消费品零售总额211,904亿元，同比增长23.0%。</w:t>
      </w:r>
    </w:p>
    <w:p w14:paraId="0AC14398" w14:textId="77777777" w:rsidR="00734405" w:rsidRDefault="00734405" w:rsidP="007B6EB6">
      <w:pPr>
        <w:rPr>
          <w:rFonts w:cs="宋体"/>
          <w:b/>
          <w:bCs/>
          <w:i/>
          <w:iCs/>
        </w:rPr>
      </w:pPr>
      <w:r w:rsidRPr="0029395C">
        <w:rPr>
          <w:rFonts w:cs="宋体" w:hint="eastAsia"/>
          <w:b/>
          <w:bCs/>
          <w:i/>
          <w:iCs/>
        </w:rPr>
        <w:t>分析：。</w:t>
      </w:r>
    </w:p>
    <w:p w14:paraId="334AE135" w14:textId="49DA5080" w:rsidR="00734405" w:rsidRPr="008B692A" w:rsidRDefault="008B692A" w:rsidP="008B692A">
      <w:pPr>
        <w:outlineLvl w:val="1"/>
        <w:rPr>
          <w:b/>
        </w:rPr>
      </w:pPr>
      <w:r>
        <w:rPr>
          <w:rFonts w:hint="eastAsia"/>
          <w:b/>
        </w:rPr>
        <w:t>1</w:t>
      </w:r>
      <w:r>
        <w:rPr>
          <w:b/>
        </w:rPr>
        <w:t>9.</w:t>
      </w:r>
      <w:r w:rsidR="00734405" w:rsidRPr="008B692A">
        <w:rPr>
          <w:rFonts w:hint="eastAsia"/>
          <w:b/>
        </w:rPr>
        <w:t>统计局：上半年全国固定资产投资增长</w:t>
      </w:r>
      <w:r w:rsidR="00734405" w:rsidRPr="008B692A">
        <w:rPr>
          <w:b/>
        </w:rPr>
        <w:t>12.6%</w:t>
      </w:r>
    </w:p>
    <w:p w14:paraId="5AAE7090" w14:textId="77777777" w:rsidR="00734405" w:rsidRDefault="00734405" w:rsidP="007B6EB6">
      <w:r>
        <w:t>1-6月份，全国固定资产投资（不含农户）255,900亿元，同比增长12.6%，环比增长0.35%。其中，民间固定资产投资147,957亿元，同比增长15.4%。</w:t>
      </w:r>
    </w:p>
    <w:p w14:paraId="71213AFF" w14:textId="77777777" w:rsidR="00734405" w:rsidRPr="002D202F" w:rsidRDefault="00734405" w:rsidP="007B6EB6">
      <w:pPr>
        <w:rPr>
          <w:rFonts w:cs="宋体"/>
          <w:b/>
          <w:bCs/>
          <w:i/>
          <w:iCs/>
        </w:rPr>
      </w:pPr>
      <w:r w:rsidRPr="0029395C">
        <w:rPr>
          <w:rFonts w:cs="宋体" w:hint="eastAsia"/>
          <w:b/>
          <w:bCs/>
          <w:i/>
          <w:iCs/>
        </w:rPr>
        <w:t>分析：。</w:t>
      </w:r>
    </w:p>
    <w:p w14:paraId="22E13E0D" w14:textId="00C70EBB" w:rsidR="00734405" w:rsidRPr="008B692A" w:rsidRDefault="008B692A" w:rsidP="008B692A">
      <w:pPr>
        <w:outlineLvl w:val="1"/>
        <w:rPr>
          <w:b/>
        </w:rPr>
      </w:pPr>
      <w:r>
        <w:rPr>
          <w:rFonts w:hint="eastAsia"/>
          <w:b/>
        </w:rPr>
        <w:t>2</w:t>
      </w:r>
      <w:r>
        <w:rPr>
          <w:b/>
        </w:rPr>
        <w:t>0.</w:t>
      </w:r>
      <w:r w:rsidR="00734405" w:rsidRPr="008B692A">
        <w:rPr>
          <w:rFonts w:hint="eastAsia"/>
          <w:b/>
        </w:rPr>
        <w:t>统计局：上半年我国</w:t>
      </w:r>
      <w:r w:rsidR="00734405" w:rsidRPr="008B692A">
        <w:rPr>
          <w:b/>
        </w:rPr>
        <w:t>GDP同比增长12.7%</w:t>
      </w:r>
    </w:p>
    <w:p w14:paraId="3616447A" w14:textId="77777777" w:rsidR="00734405" w:rsidRDefault="00734405" w:rsidP="007B6EB6">
      <w:r>
        <w:t>上半年我国国内生产总值532,167亿元，同比增长12.7%，比一季度回落5.6个百分点；两年平均增长5.3%。分季度看，一季度同比增长18.3%%；二季度增长7.9%。</w:t>
      </w:r>
    </w:p>
    <w:p w14:paraId="0F4DC84D" w14:textId="6F8CCDC2" w:rsidR="00734405" w:rsidRDefault="00734405" w:rsidP="007B6EB6">
      <w:pPr>
        <w:rPr>
          <w:rFonts w:cs="宋体"/>
          <w:b/>
          <w:bCs/>
          <w:i/>
          <w:iCs/>
        </w:rPr>
      </w:pPr>
      <w:r w:rsidRPr="0029395C">
        <w:rPr>
          <w:rFonts w:cs="宋体" w:hint="eastAsia"/>
          <w:b/>
          <w:bCs/>
          <w:i/>
          <w:iCs/>
        </w:rPr>
        <w:t>分析：。</w:t>
      </w:r>
    </w:p>
    <w:p w14:paraId="07BE83AB" w14:textId="77777777" w:rsidR="008B692A" w:rsidRDefault="008B692A" w:rsidP="007B6EB6">
      <w:pPr>
        <w:rPr>
          <w:rFonts w:cs="宋体"/>
          <w:b/>
          <w:bCs/>
          <w:i/>
          <w:iCs/>
        </w:rPr>
      </w:pPr>
    </w:p>
    <w:p w14:paraId="10FA45E5" w14:textId="77777777" w:rsidR="007B6EB6" w:rsidRPr="00567A78" w:rsidRDefault="007B6EB6" w:rsidP="007B6EB6">
      <w:pPr>
        <w:pStyle w:val="a8"/>
        <w:numPr>
          <w:ilvl w:val="0"/>
          <w:numId w:val="8"/>
        </w:numPr>
        <w:ind w:firstLineChars="0"/>
        <w:outlineLvl w:val="0"/>
        <w:rPr>
          <w:b/>
        </w:rPr>
      </w:pPr>
      <w:r w:rsidRPr="002009FE">
        <w:rPr>
          <w:rFonts w:cs="宋体" w:hint="eastAsia"/>
          <w:b/>
          <w:bCs/>
        </w:rPr>
        <w:t>新品信息跟踪</w:t>
      </w:r>
    </w:p>
    <w:p w14:paraId="6C582D31" w14:textId="77777777" w:rsidR="00B42BDB" w:rsidRPr="00A76303" w:rsidRDefault="00B42BDB" w:rsidP="007B6EB6">
      <w:pPr>
        <w:pStyle w:val="a8"/>
        <w:numPr>
          <w:ilvl w:val="3"/>
          <w:numId w:val="9"/>
        </w:numPr>
        <w:ind w:left="426" w:firstLineChars="0"/>
        <w:outlineLvl w:val="1"/>
        <w:rPr>
          <w:b/>
        </w:rPr>
      </w:pPr>
      <w:r w:rsidRPr="00A76303">
        <w:rPr>
          <w:b/>
        </w:rPr>
        <w:t>埃安AIONLX</w:t>
      </w:r>
    </w:p>
    <w:p w14:paraId="0DCAAA30" w14:textId="77777777" w:rsidR="00B42BDB" w:rsidRDefault="00B42BDB" w:rsidP="007B6EB6">
      <w:r>
        <w:rPr>
          <w:noProof/>
          <w:color w:val="000000"/>
        </w:rPr>
        <w:drawing>
          <wp:inline distT="0" distB="0" distL="0" distR="0" wp14:anchorId="3FA81B28" wp14:editId="1EAE1847">
            <wp:extent cx="1800000" cy="1125000"/>
            <wp:effectExtent l="0" t="0" r="0" b="0"/>
            <wp:docPr id="21" name="图片 21" descr="http://i.way-s.cn/public/images/news/defaul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way-s.cn/public/images/news/default1.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00000" cy="1125000"/>
                    </a:xfrm>
                    <a:prstGeom prst="rect">
                      <a:avLst/>
                    </a:prstGeom>
                    <a:noFill/>
                    <a:ln>
                      <a:noFill/>
                    </a:ln>
                  </pic:spPr>
                </pic:pic>
              </a:graphicData>
            </a:graphic>
          </wp:inline>
        </w:drawing>
      </w:r>
    </w:p>
    <w:p w14:paraId="32EFB0CE" w14:textId="77777777" w:rsidR="00B42BDB" w:rsidRDefault="00B42BDB" w:rsidP="007B6EB6">
      <w:r>
        <w:rPr>
          <w:rFonts w:hint="eastAsia"/>
        </w:rPr>
        <w:t>据广汽埃安官方消息显示，其采用海绵硅负极片电池技术、续航可达</w:t>
      </w:r>
      <w:r>
        <w:t>1000km的AIONLX已在海南三亚完成夏季高温测试。同时官方还宣布该车即将进入量产阶段。据广汽埃安此前公开信息显示，广汽埃安海绵硅负极片电池技术是一项让电池变得更轻、更小的技术。通过这项技术，动力电池单体电芯在同等电量的情况下，体积能够减小20%，重量能够减轻14%。经过5年的秘密技术攻关，广汽团队攻克了硅负极材料在大型动力电池上的应用性难题，实现了高容量硅负极材料在大型动力电池中的首次应用，电芯能量密度达到280wh/kg，结合高集成</w:t>
      </w:r>
      <w:r>
        <w:rPr>
          <w:rFonts w:hint="eastAsia"/>
        </w:rPr>
        <w:t>电池包技术使整包电量达到</w:t>
      </w:r>
      <w:r>
        <w:t>150kWh以上。搭载在AIONLX上，实现综合续航里程，从650km提升到了1000km。</w:t>
      </w:r>
    </w:p>
    <w:p w14:paraId="305E9F9C" w14:textId="02D1E97E" w:rsidR="00B42BDB" w:rsidRDefault="00B42BDB" w:rsidP="007B6EB6">
      <w:pPr>
        <w:rPr>
          <w:rFonts w:cs="宋体"/>
          <w:b/>
          <w:bCs/>
          <w:i/>
          <w:iCs/>
        </w:rPr>
      </w:pPr>
      <w:r w:rsidRPr="002009FE">
        <w:rPr>
          <w:rFonts w:cs="宋体" w:hint="eastAsia"/>
          <w:b/>
          <w:bCs/>
          <w:i/>
          <w:iCs/>
        </w:rPr>
        <w:t>分析：。</w:t>
      </w:r>
    </w:p>
    <w:p w14:paraId="49F749D5" w14:textId="77777777" w:rsidR="008B692A" w:rsidRDefault="008B692A" w:rsidP="007B6EB6">
      <w:pPr>
        <w:rPr>
          <w:rFonts w:cs="宋体"/>
          <w:b/>
          <w:bCs/>
          <w:i/>
          <w:iCs/>
        </w:rPr>
      </w:pPr>
    </w:p>
    <w:p w14:paraId="391DF62B" w14:textId="77777777" w:rsidR="007B6EB6" w:rsidRPr="002009FE" w:rsidRDefault="007B6EB6" w:rsidP="007B6EB6">
      <w:pPr>
        <w:pStyle w:val="a8"/>
        <w:numPr>
          <w:ilvl w:val="0"/>
          <w:numId w:val="4"/>
        </w:numPr>
        <w:ind w:firstLineChars="0"/>
        <w:outlineLvl w:val="0"/>
      </w:pPr>
      <w:r>
        <w:rPr>
          <w:rFonts w:cs="宋体" w:hint="eastAsia"/>
          <w:b/>
          <w:bCs/>
        </w:rPr>
        <w:t>企业信息</w:t>
      </w:r>
    </w:p>
    <w:p w14:paraId="4B2E023F" w14:textId="77777777" w:rsidR="00AA0D07" w:rsidRPr="0069461D" w:rsidRDefault="00AA0D07" w:rsidP="007B6EB6">
      <w:pPr>
        <w:pStyle w:val="a8"/>
        <w:numPr>
          <w:ilvl w:val="3"/>
          <w:numId w:val="17"/>
        </w:numPr>
        <w:ind w:firstLineChars="0"/>
        <w:jc w:val="left"/>
        <w:outlineLvl w:val="1"/>
        <w:rPr>
          <w:b/>
        </w:rPr>
      </w:pPr>
      <w:r w:rsidRPr="0069461D">
        <w:rPr>
          <w:rFonts w:hint="eastAsia"/>
          <w:b/>
        </w:rPr>
        <w:t>拜腾汽车正式破产重整</w:t>
      </w:r>
    </w:p>
    <w:p w14:paraId="3F190F71" w14:textId="77777777" w:rsidR="00AA0D07" w:rsidRDefault="00AA0D07" w:rsidP="007B6EB6">
      <w:r>
        <w:t>拜腾汽车关联公司：南京知行新能源汽车技术开发有限公司新增破产重整信息，案号为（2021）苏0113破申26号，经办法院为南京市栖霞区人民法院。申请人为上海华讯网络系统有限公司。</w:t>
      </w:r>
    </w:p>
    <w:p w14:paraId="3F7232C0" w14:textId="77777777" w:rsidR="00AA0D07" w:rsidRDefault="00AA0D07" w:rsidP="007B6EB6">
      <w:pPr>
        <w:rPr>
          <w:rFonts w:cs="宋体"/>
          <w:b/>
          <w:bCs/>
          <w:i/>
          <w:iCs/>
        </w:rPr>
      </w:pPr>
      <w:r w:rsidRPr="00272A7B">
        <w:rPr>
          <w:rFonts w:cs="宋体" w:hint="eastAsia"/>
          <w:b/>
          <w:bCs/>
          <w:i/>
          <w:iCs/>
        </w:rPr>
        <w:t>分析：。</w:t>
      </w:r>
    </w:p>
    <w:p w14:paraId="08894CD3" w14:textId="77777777" w:rsidR="00AA0D07" w:rsidRPr="0064403F" w:rsidRDefault="00AA0D07" w:rsidP="007B6EB6">
      <w:pPr>
        <w:pStyle w:val="a8"/>
        <w:numPr>
          <w:ilvl w:val="3"/>
          <w:numId w:val="17"/>
        </w:numPr>
        <w:ind w:firstLineChars="0"/>
        <w:jc w:val="left"/>
        <w:outlineLvl w:val="1"/>
        <w:rPr>
          <w:b/>
        </w:rPr>
      </w:pPr>
      <w:r w:rsidRPr="0064403F">
        <w:rPr>
          <w:rFonts w:hint="eastAsia"/>
          <w:b/>
        </w:rPr>
        <w:t>北汽鹏龙正式发布新路橙二手车品牌</w:t>
      </w:r>
    </w:p>
    <w:p w14:paraId="1654F480" w14:textId="77777777" w:rsidR="00AA0D07" w:rsidRDefault="00AA0D07" w:rsidP="007B6EB6">
      <w:r>
        <w:t>7月13日，北汽鹏龙正式发布了新路橙二手车品牌。据介绍，“十四五”期间，北汽集团依托旗下汽车服务贸易业务平台企业——北汽鹏龙，进一步围绕配件、售后服务、二手车等全产业链进行深耕发力，加大研发投入力度。同时将以二手车交易和服务为主营业务，打造线下、线上结合的二手车品牌交易服务平台。</w:t>
      </w:r>
    </w:p>
    <w:p w14:paraId="54348EAB" w14:textId="77777777" w:rsidR="00AA0D07" w:rsidRDefault="00AA0D07" w:rsidP="007B6EB6">
      <w:pPr>
        <w:rPr>
          <w:rFonts w:cs="宋体"/>
          <w:b/>
          <w:bCs/>
          <w:i/>
          <w:iCs/>
        </w:rPr>
      </w:pPr>
      <w:r w:rsidRPr="00272A7B">
        <w:rPr>
          <w:rFonts w:cs="宋体" w:hint="eastAsia"/>
          <w:b/>
          <w:bCs/>
          <w:i/>
          <w:iCs/>
        </w:rPr>
        <w:t>分析：。</w:t>
      </w:r>
    </w:p>
    <w:p w14:paraId="7F520A7D" w14:textId="77777777" w:rsidR="00AA0D07" w:rsidRPr="006734CA" w:rsidRDefault="00AA0D07" w:rsidP="007B6EB6">
      <w:pPr>
        <w:pStyle w:val="a8"/>
        <w:numPr>
          <w:ilvl w:val="3"/>
          <w:numId w:val="17"/>
        </w:numPr>
        <w:ind w:firstLineChars="0"/>
        <w:jc w:val="left"/>
        <w:outlineLvl w:val="1"/>
        <w:rPr>
          <w:b/>
        </w:rPr>
      </w:pPr>
      <w:r w:rsidRPr="006734CA">
        <w:rPr>
          <w:rFonts w:hint="eastAsia"/>
          <w:b/>
        </w:rPr>
        <w:t>比亚迪在合肥成立新公司</w:t>
      </w:r>
      <w:r w:rsidRPr="006734CA">
        <w:rPr>
          <w:b/>
        </w:rPr>
        <w:t>注册资本10亿元</w:t>
      </w:r>
    </w:p>
    <w:p w14:paraId="09694B7C" w14:textId="77777777" w:rsidR="00AA0D07" w:rsidRDefault="00AA0D07" w:rsidP="007B6EB6">
      <w:r w:rsidRPr="003D4EB6">
        <w:rPr>
          <w:rFonts w:hint="eastAsia"/>
        </w:rPr>
        <w:t>合肥比亚迪汽车有限公司成立，注册资本</w:t>
      </w:r>
      <w:r w:rsidRPr="003D4EB6">
        <w:t>10亿元人民币，经营范围包含：汽车零部件及配件制造；新能源汽车整车销售；新能源汽车电附件销售；汽车零部件研发等。该公司由比亚迪汽车工业有限公司100%控股。</w:t>
      </w:r>
    </w:p>
    <w:p w14:paraId="27818115" w14:textId="77777777" w:rsidR="00AA0D07" w:rsidRDefault="00AA0D07" w:rsidP="007B6EB6">
      <w:pPr>
        <w:ind w:left="210" w:hangingChars="100" w:hanging="210"/>
        <w:rPr>
          <w:rFonts w:cs="宋体"/>
          <w:b/>
          <w:bCs/>
          <w:i/>
          <w:iCs/>
        </w:rPr>
      </w:pPr>
      <w:r w:rsidRPr="00F94E69">
        <w:rPr>
          <w:rFonts w:cs="宋体" w:hint="eastAsia"/>
          <w:b/>
          <w:bCs/>
          <w:i/>
          <w:iCs/>
        </w:rPr>
        <w:t>分析：。</w:t>
      </w:r>
    </w:p>
    <w:p w14:paraId="2E41BC7A" w14:textId="77777777" w:rsidR="00AA0D07" w:rsidRPr="00F36EF4" w:rsidRDefault="00AA0D07" w:rsidP="007B6EB6">
      <w:pPr>
        <w:pStyle w:val="a8"/>
        <w:numPr>
          <w:ilvl w:val="3"/>
          <w:numId w:val="17"/>
        </w:numPr>
        <w:ind w:firstLineChars="0"/>
        <w:jc w:val="left"/>
        <w:outlineLvl w:val="1"/>
        <w:rPr>
          <w:b/>
        </w:rPr>
      </w:pPr>
      <w:r w:rsidRPr="00F36EF4">
        <w:rPr>
          <w:rFonts w:hint="eastAsia"/>
          <w:b/>
        </w:rPr>
        <w:t>大众将与国轩高科在德国合建电池厂</w:t>
      </w:r>
    </w:p>
    <w:p w14:paraId="2AE8507D" w14:textId="77777777" w:rsidR="00AA0D07" w:rsidRDefault="00AA0D07" w:rsidP="007B6EB6">
      <w:r w:rsidRPr="00305357">
        <w:t>7月12日，大众汽车集团与国轩高科达成协议，双方将合作在萨尔茨吉特建立电池工厂。同时，合肥国轩与大众中国达成协议，为其常规量产车型开发第一代标准电芯。</w:t>
      </w:r>
    </w:p>
    <w:p w14:paraId="2D649FC8" w14:textId="77777777" w:rsidR="00AA0D07" w:rsidRDefault="00AA0D07" w:rsidP="007B6EB6">
      <w:pPr>
        <w:rPr>
          <w:rFonts w:cs="宋体"/>
          <w:b/>
          <w:bCs/>
          <w:i/>
          <w:iCs/>
        </w:rPr>
      </w:pPr>
      <w:r w:rsidRPr="00272A7B">
        <w:rPr>
          <w:rFonts w:cs="宋体" w:hint="eastAsia"/>
          <w:b/>
          <w:bCs/>
          <w:i/>
          <w:iCs/>
        </w:rPr>
        <w:t>分析：。</w:t>
      </w:r>
    </w:p>
    <w:p w14:paraId="0852835E" w14:textId="77777777" w:rsidR="00AA0D07" w:rsidRPr="00B60706" w:rsidRDefault="00AA0D07" w:rsidP="007B6EB6">
      <w:pPr>
        <w:pStyle w:val="a8"/>
        <w:numPr>
          <w:ilvl w:val="3"/>
          <w:numId w:val="17"/>
        </w:numPr>
        <w:ind w:firstLineChars="0"/>
        <w:jc w:val="left"/>
        <w:outlineLvl w:val="1"/>
        <w:rPr>
          <w:b/>
        </w:rPr>
      </w:pPr>
      <w:r w:rsidRPr="00B60706">
        <w:rPr>
          <w:rFonts w:hint="eastAsia"/>
          <w:b/>
        </w:rPr>
        <w:t>蜂巢能源首款无钴电池量产下线</w:t>
      </w:r>
    </w:p>
    <w:p w14:paraId="60865A1B" w14:textId="77777777" w:rsidR="00AA0D07" w:rsidRDefault="00AA0D07" w:rsidP="007B6EB6">
      <w:r w:rsidRPr="00FF571B">
        <w:t>7月16日，蜂巢能源在江苏举行了首款无钴电池量产下线仪式。据了解，本次量产下线的无钴电池的能量密度为240Wh/kg，容量为115Ah，将应用在长城欧拉新车型樱桃猫上，而该车型也刚刚通过工信部346批新车公告。</w:t>
      </w:r>
    </w:p>
    <w:p w14:paraId="1D3B970D" w14:textId="77777777" w:rsidR="00AA0D07" w:rsidRDefault="00AA0D07" w:rsidP="007B6EB6">
      <w:pPr>
        <w:rPr>
          <w:rFonts w:cs="宋体"/>
          <w:b/>
          <w:bCs/>
          <w:i/>
          <w:iCs/>
        </w:rPr>
      </w:pPr>
      <w:r w:rsidRPr="00272A7B">
        <w:rPr>
          <w:rFonts w:cs="宋体" w:hint="eastAsia"/>
          <w:b/>
          <w:bCs/>
          <w:i/>
          <w:iCs/>
        </w:rPr>
        <w:t>分析：。</w:t>
      </w:r>
    </w:p>
    <w:p w14:paraId="121E8E04" w14:textId="77777777" w:rsidR="00AA0D07" w:rsidRPr="009E5E1B" w:rsidRDefault="00AA0D07" w:rsidP="007B6EB6">
      <w:pPr>
        <w:pStyle w:val="a8"/>
        <w:numPr>
          <w:ilvl w:val="3"/>
          <w:numId w:val="17"/>
        </w:numPr>
        <w:ind w:firstLineChars="0"/>
        <w:jc w:val="left"/>
        <w:outlineLvl w:val="1"/>
        <w:rPr>
          <w:b/>
        </w:rPr>
      </w:pPr>
      <w:r w:rsidRPr="009E5E1B">
        <w:rPr>
          <w:rFonts w:hint="eastAsia"/>
          <w:b/>
        </w:rPr>
        <w:t>国轩高科</w:t>
      </w:r>
      <w:r w:rsidRPr="009E5E1B">
        <w:rPr>
          <w:b/>
        </w:rPr>
        <w:t>/大众合作开发第一代标准电芯</w:t>
      </w:r>
    </w:p>
    <w:p w14:paraId="393ADD16" w14:textId="77777777" w:rsidR="00AA0D07" w:rsidRDefault="00AA0D07" w:rsidP="007B6EB6">
      <w:r>
        <w:rPr>
          <w:rFonts w:hint="eastAsia"/>
        </w:rPr>
        <w:t>大众汽车集团与国轩高科进一步深化合作伙伴关系，达成了战略合作框架协议。双方将推动大众汽车集团零部件公司萨尔茨吉特工厂的电池电芯工业化生产，并开发首个采用标准电芯、用于大众汽车集团常规量产车型的电池应用案例。据了解，这两个合作项目是大众汽车集团电池及充电技术战略的一部分。</w:t>
      </w:r>
    </w:p>
    <w:p w14:paraId="22406039" w14:textId="77777777" w:rsidR="00AA0D07" w:rsidRDefault="00AA0D07" w:rsidP="007B6EB6">
      <w:r>
        <w:rPr>
          <w:rFonts w:hint="eastAsia"/>
        </w:rPr>
        <w:t>在萨尔茨吉特工厂</w:t>
      </w:r>
      <w:r>
        <w:t>,大众汽车集团将与国轩高科在电池工厂的生产布局、设备部署及生产工艺流程上联手，加速实现电芯工业化生产。此外，大众汽车（中国）投资有限公司与合肥国轩高科动力能源有限公司达成协议，国轩高科将开发第一代标准电芯，用于集团常规量产车型。</w:t>
      </w:r>
    </w:p>
    <w:p w14:paraId="1AB82C46" w14:textId="77777777" w:rsidR="00AA0D07" w:rsidRDefault="00AA0D07" w:rsidP="007B6EB6">
      <w:pPr>
        <w:ind w:left="210" w:hangingChars="100" w:hanging="210"/>
        <w:rPr>
          <w:rFonts w:cs="宋体"/>
          <w:b/>
          <w:bCs/>
          <w:i/>
          <w:iCs/>
        </w:rPr>
      </w:pPr>
      <w:r w:rsidRPr="00F94E69">
        <w:rPr>
          <w:rFonts w:cs="宋体" w:hint="eastAsia"/>
          <w:b/>
          <w:bCs/>
          <w:i/>
          <w:iCs/>
        </w:rPr>
        <w:t>分析：。</w:t>
      </w:r>
    </w:p>
    <w:p w14:paraId="28480571" w14:textId="77777777" w:rsidR="00AA0D07" w:rsidRPr="009E5E1B" w:rsidRDefault="00AA0D07" w:rsidP="007B6EB6">
      <w:pPr>
        <w:pStyle w:val="a8"/>
        <w:numPr>
          <w:ilvl w:val="3"/>
          <w:numId w:val="17"/>
        </w:numPr>
        <w:ind w:firstLineChars="0"/>
        <w:jc w:val="left"/>
        <w:outlineLvl w:val="1"/>
        <w:rPr>
          <w:b/>
        </w:rPr>
      </w:pPr>
      <w:r w:rsidRPr="009E5E1B">
        <w:rPr>
          <w:rFonts w:hint="eastAsia"/>
          <w:b/>
        </w:rPr>
        <w:t>华为与广汽埃安携手</w:t>
      </w:r>
      <w:r w:rsidRPr="009E5E1B">
        <w:rPr>
          <w:b/>
        </w:rPr>
        <w:t>共同研制中大型纯电SUV</w:t>
      </w:r>
    </w:p>
    <w:p w14:paraId="6E058CED" w14:textId="77777777" w:rsidR="00AA0D07" w:rsidRDefault="00AA0D07" w:rsidP="007B6EB6">
      <w:r>
        <w:t>7月9日晚，广汽集团发布公告，经董事会审议通过，同意全资子公司广汽埃安新能源汽车有限公司与华为项目的实施。</w:t>
      </w:r>
    </w:p>
    <w:p w14:paraId="65FC47DF" w14:textId="77777777" w:rsidR="00AA0D07" w:rsidRDefault="00AA0D07" w:rsidP="007B6EB6">
      <w:r>
        <w:rPr>
          <w:rFonts w:hint="eastAsia"/>
        </w:rPr>
        <w:t>根据合作协议，广汽埃安与华为项目，将基于广汽</w:t>
      </w:r>
      <w:r>
        <w:t>GEP3.0底盘平台、华为CCA(计算与通信架构)构建的新一代智能汽车数字平台，搭载华为全栈智能汽车解决方案，联合定义、共同开发，共同打造面向未来的一系列智能汽车。</w:t>
      </w:r>
    </w:p>
    <w:p w14:paraId="1A5E25E2" w14:textId="77777777" w:rsidR="00AA0D07" w:rsidRDefault="00AA0D07" w:rsidP="007B6EB6">
      <w:r>
        <w:rPr>
          <w:rFonts w:hint="eastAsia"/>
        </w:rPr>
        <w:t>据悉，该项目为双方联合开发的首款中大型智能纯电</w:t>
      </w:r>
      <w:r>
        <w:t>SUV车型，项目总投资7.88亿元，计划于2023年底量产。</w:t>
      </w:r>
    </w:p>
    <w:p w14:paraId="28E009D9" w14:textId="77777777" w:rsidR="00AA0D07" w:rsidRDefault="00AA0D07" w:rsidP="007B6EB6">
      <w:pPr>
        <w:ind w:left="210" w:hangingChars="100" w:hanging="210"/>
        <w:rPr>
          <w:rFonts w:cs="宋体"/>
          <w:b/>
          <w:bCs/>
          <w:i/>
          <w:iCs/>
        </w:rPr>
      </w:pPr>
      <w:r w:rsidRPr="00F94E69">
        <w:rPr>
          <w:rFonts w:cs="宋体" w:hint="eastAsia"/>
          <w:b/>
          <w:bCs/>
          <w:i/>
          <w:iCs/>
        </w:rPr>
        <w:t>分析：。</w:t>
      </w:r>
    </w:p>
    <w:p w14:paraId="440C953D" w14:textId="77777777" w:rsidR="00AA0D07" w:rsidRPr="00342D10" w:rsidRDefault="00AA0D07" w:rsidP="007B6EB6">
      <w:pPr>
        <w:pStyle w:val="a8"/>
        <w:numPr>
          <w:ilvl w:val="3"/>
          <w:numId w:val="17"/>
        </w:numPr>
        <w:ind w:firstLineChars="0"/>
        <w:jc w:val="left"/>
        <w:outlineLvl w:val="1"/>
        <w:rPr>
          <w:b/>
        </w:rPr>
      </w:pPr>
      <w:r w:rsidRPr="00342D10">
        <w:rPr>
          <w:rFonts w:hint="eastAsia"/>
          <w:b/>
        </w:rPr>
        <w:t>吉利突然退出极氪汽车</w:t>
      </w:r>
    </w:p>
    <w:p w14:paraId="31C615A2" w14:textId="77777777" w:rsidR="00AA0D07" w:rsidRDefault="00AA0D07" w:rsidP="007B6EB6">
      <w:r w:rsidRPr="00057988">
        <w:rPr>
          <w:rFonts w:hint="eastAsia"/>
        </w:rPr>
        <w:t>极氪汽车（宁波杭州湾新区）有限公司近日发生改动，大股东吉利汽车集团有限公司从股东中退出，新增股东上海华普国润汽车有限公司。当前，极氪汽车（宁波杭州湾新区）有限公司为上海华普国润汽车有限公司全资控股。</w:t>
      </w:r>
    </w:p>
    <w:p w14:paraId="1738C4D7" w14:textId="77777777" w:rsidR="00AA0D07" w:rsidRDefault="00AA0D07" w:rsidP="007B6EB6">
      <w:pPr>
        <w:rPr>
          <w:rFonts w:cs="宋体"/>
          <w:b/>
          <w:bCs/>
          <w:i/>
          <w:iCs/>
        </w:rPr>
      </w:pPr>
      <w:r w:rsidRPr="00272A7B">
        <w:rPr>
          <w:rFonts w:cs="宋体" w:hint="eastAsia"/>
          <w:b/>
          <w:bCs/>
          <w:i/>
          <w:iCs/>
        </w:rPr>
        <w:t>分析：。</w:t>
      </w:r>
    </w:p>
    <w:p w14:paraId="77E42F8A" w14:textId="77777777" w:rsidR="00AA0D07" w:rsidRPr="0064403F" w:rsidRDefault="00AA0D07" w:rsidP="007B6EB6">
      <w:pPr>
        <w:pStyle w:val="a8"/>
        <w:numPr>
          <w:ilvl w:val="3"/>
          <w:numId w:val="17"/>
        </w:numPr>
        <w:ind w:firstLineChars="0"/>
        <w:jc w:val="left"/>
        <w:outlineLvl w:val="1"/>
        <w:rPr>
          <w:b/>
        </w:rPr>
      </w:pPr>
      <w:r w:rsidRPr="0064403F">
        <w:rPr>
          <w:rFonts w:hint="eastAsia"/>
          <w:b/>
        </w:rPr>
        <w:t>极狐汽车携国网首家开通即插即充功能</w:t>
      </w:r>
    </w:p>
    <w:p w14:paraId="0800AD42" w14:textId="77777777" w:rsidR="00AA0D07" w:rsidRDefault="00AA0D07" w:rsidP="007B6EB6">
      <w:r w:rsidRPr="00B75D2C">
        <w:t>7月10日，极狐汽车与国家电网联合宣布：全国首家公共充电网络即插即充服务正式启用。即日起，极狐汽车用户可以在全国范围内国家电网公共直流充电桩使用“即插即充”功能，享受快速便捷的充电服务，目前该服务已覆盖219座城市6602个充电站42187根公共直流充电桩。</w:t>
      </w:r>
    </w:p>
    <w:p w14:paraId="1D0374A7" w14:textId="77777777" w:rsidR="00AA0D07" w:rsidRDefault="00AA0D07" w:rsidP="007B6EB6">
      <w:pPr>
        <w:rPr>
          <w:rFonts w:cs="宋体"/>
          <w:b/>
          <w:bCs/>
          <w:i/>
          <w:iCs/>
        </w:rPr>
      </w:pPr>
      <w:r w:rsidRPr="00272A7B">
        <w:rPr>
          <w:rFonts w:cs="宋体" w:hint="eastAsia"/>
          <w:b/>
          <w:bCs/>
          <w:i/>
          <w:iCs/>
        </w:rPr>
        <w:t>分析：。</w:t>
      </w:r>
    </w:p>
    <w:p w14:paraId="289EDC92" w14:textId="77777777" w:rsidR="00AA0D07" w:rsidRPr="009E5E1B" w:rsidRDefault="00AA0D07" w:rsidP="007B6EB6">
      <w:pPr>
        <w:pStyle w:val="a8"/>
        <w:numPr>
          <w:ilvl w:val="3"/>
          <w:numId w:val="17"/>
        </w:numPr>
        <w:ind w:firstLineChars="0"/>
        <w:jc w:val="left"/>
        <w:outlineLvl w:val="1"/>
        <w:rPr>
          <w:b/>
        </w:rPr>
      </w:pPr>
      <w:r w:rsidRPr="009E5E1B">
        <w:rPr>
          <w:b/>
        </w:rPr>
        <w:t>极狐双线布局自动驾驶</w:t>
      </w:r>
      <w:r w:rsidRPr="009E5E1B">
        <w:rPr>
          <w:rFonts w:hint="eastAsia"/>
          <w:b/>
        </w:rPr>
        <w:t>个人</w:t>
      </w:r>
      <w:r w:rsidRPr="009E5E1B">
        <w:rPr>
          <w:b/>
        </w:rPr>
        <w:t>/运营分别部署</w:t>
      </w:r>
    </w:p>
    <w:p w14:paraId="7180A5D4" w14:textId="77777777" w:rsidR="00AA0D07" w:rsidRDefault="00AA0D07" w:rsidP="007B6EB6">
      <w:r>
        <w:rPr>
          <w:rFonts w:hint="eastAsia"/>
        </w:rPr>
        <w:t>从官方获悉，</w:t>
      </w:r>
      <w:r>
        <w:t>ARCFOX极狐将携手华为和百度，分别在个人用车领域和无人共享车领域展开合作，以“双线布局”的形式推进ARCFOX极狐自动驾驶汽车的落地。</w:t>
      </w:r>
    </w:p>
    <w:p w14:paraId="6F669938" w14:textId="77777777" w:rsidR="00AA0D07" w:rsidRDefault="00AA0D07" w:rsidP="007B6EB6">
      <w:r>
        <w:rPr>
          <w:rFonts w:hint="eastAsia"/>
        </w:rPr>
        <w:t>在家用乘用车领域，</w:t>
      </w:r>
      <w:r>
        <w:t>ARCFOX极狐与华为合作推出全球首款城市通勤自动驾驶量产车、全球首款搭载3颗激光雷达量产车——阿尔法S华为HI版，实现全球自动驾驶新技术。</w:t>
      </w:r>
    </w:p>
    <w:p w14:paraId="4E10E610" w14:textId="77777777" w:rsidR="00AA0D07" w:rsidRDefault="00AA0D07" w:rsidP="007B6EB6">
      <w:r>
        <w:rPr>
          <w:rFonts w:hint="eastAsia"/>
        </w:rPr>
        <w:t>在共享无人车领域，</w:t>
      </w:r>
      <w:r>
        <w:t>ARCFOX极狐与百度联手发布基于阿尔法T的新一代量产共享无人车ApolloMoon，新车具备主驾无人自动驾驶能力，可实现无人化出行服务。并基于智能化IMC平台架构打造，该车拥有高智能的电子电器架构与可升级的云端服务，以及高性能与高安全的三电技术。</w:t>
      </w:r>
    </w:p>
    <w:p w14:paraId="7956E33A" w14:textId="77777777" w:rsidR="00AA0D07" w:rsidRDefault="00AA0D07" w:rsidP="007B6EB6">
      <w:pPr>
        <w:ind w:left="210" w:hangingChars="100" w:hanging="210"/>
        <w:rPr>
          <w:rFonts w:cs="宋体"/>
          <w:b/>
          <w:bCs/>
          <w:i/>
          <w:iCs/>
        </w:rPr>
      </w:pPr>
      <w:r w:rsidRPr="00F94E69">
        <w:rPr>
          <w:rFonts w:cs="宋体" w:hint="eastAsia"/>
          <w:b/>
          <w:bCs/>
          <w:i/>
          <w:iCs/>
        </w:rPr>
        <w:t>分析：。</w:t>
      </w:r>
    </w:p>
    <w:p w14:paraId="330D452E" w14:textId="77777777" w:rsidR="00AA0D07" w:rsidRDefault="00AA0D07" w:rsidP="007B6EB6">
      <w:pPr>
        <w:pStyle w:val="a8"/>
        <w:numPr>
          <w:ilvl w:val="3"/>
          <w:numId w:val="17"/>
        </w:numPr>
        <w:ind w:firstLineChars="0"/>
        <w:jc w:val="left"/>
        <w:outlineLvl w:val="1"/>
      </w:pPr>
      <w:r w:rsidRPr="00732349">
        <w:rPr>
          <w:rFonts w:hint="eastAsia"/>
          <w:b/>
        </w:rPr>
        <w:t>康明斯开始氢燃料内燃机前瞻测试</w:t>
      </w:r>
    </w:p>
    <w:p w14:paraId="1F23B747" w14:textId="77777777" w:rsidR="00AA0D07" w:rsidRDefault="00AA0D07" w:rsidP="007B6EB6">
      <w:r>
        <w:t>2021年7月13日，康明斯公司宣布已开始氢燃料内燃机开发的前瞻测试，旨在进一步探索先进零碳技术发展的新路径。此项概念验证测试基于康明斯行业领先的气体燃料应用和动力链技术基础，研发创新的动力解决方案，帮助客户满足未来的能源和环境需求。</w:t>
      </w:r>
    </w:p>
    <w:p w14:paraId="383ACFCC" w14:textId="77777777" w:rsidR="00AA0D07" w:rsidRDefault="00AA0D07" w:rsidP="007B6EB6">
      <w:r>
        <w:rPr>
          <w:rFonts w:hint="eastAsia"/>
        </w:rPr>
        <w:t>完成概念验证测试后，康明斯计划将在各种道路和非道路应用中对该发动机进行充分评估，帮助公司进一步推动商用车脱碳的步伐。</w:t>
      </w:r>
    </w:p>
    <w:p w14:paraId="43429702" w14:textId="77777777" w:rsidR="00AA0D07" w:rsidRDefault="00AA0D07" w:rsidP="007B6EB6">
      <w:pPr>
        <w:ind w:left="210" w:hangingChars="100" w:hanging="210"/>
        <w:rPr>
          <w:rFonts w:cs="宋体"/>
          <w:b/>
          <w:bCs/>
          <w:i/>
          <w:iCs/>
        </w:rPr>
      </w:pPr>
      <w:r w:rsidRPr="00F94E69">
        <w:rPr>
          <w:rFonts w:cs="宋体" w:hint="eastAsia"/>
          <w:b/>
          <w:bCs/>
          <w:i/>
          <w:iCs/>
        </w:rPr>
        <w:t>分析：。</w:t>
      </w:r>
    </w:p>
    <w:p w14:paraId="6CA7EFA8" w14:textId="77777777" w:rsidR="00AA0D07" w:rsidRPr="00DC7999" w:rsidRDefault="00AA0D07" w:rsidP="007B6EB6">
      <w:pPr>
        <w:pStyle w:val="a8"/>
        <w:numPr>
          <w:ilvl w:val="3"/>
          <w:numId w:val="17"/>
        </w:numPr>
        <w:ind w:firstLineChars="0"/>
        <w:jc w:val="left"/>
        <w:outlineLvl w:val="1"/>
        <w:rPr>
          <w:b/>
        </w:rPr>
      </w:pPr>
      <w:r w:rsidRPr="00DC7999">
        <w:rPr>
          <w:rFonts w:hint="eastAsia"/>
          <w:b/>
        </w:rPr>
        <w:t>理想汽车第</w:t>
      </w:r>
      <w:r w:rsidRPr="00DC7999">
        <w:rPr>
          <w:b/>
        </w:rPr>
        <w:t>100家直营零售中心正式开业</w:t>
      </w:r>
    </w:p>
    <w:p w14:paraId="01A1E843" w14:textId="77777777" w:rsidR="00AA0D07" w:rsidRDefault="00AA0D07" w:rsidP="007B6EB6">
      <w:r>
        <w:t>7月10日，理想汽车宣布第100家直营零售中心——广东湛江霞山万达零售中心正式开业。至此，理想汽车直营零售中心已经覆盖了全国65个城市，零售体系建设持续推进。</w:t>
      </w:r>
    </w:p>
    <w:p w14:paraId="3B57F8EE" w14:textId="77777777" w:rsidR="00AA0D07" w:rsidRDefault="00AA0D07" w:rsidP="007B6EB6">
      <w:pPr>
        <w:rPr>
          <w:rFonts w:cs="宋体"/>
          <w:b/>
          <w:bCs/>
          <w:i/>
          <w:iCs/>
        </w:rPr>
      </w:pPr>
      <w:r w:rsidRPr="00272A7B">
        <w:rPr>
          <w:rFonts w:cs="宋体" w:hint="eastAsia"/>
          <w:b/>
          <w:bCs/>
          <w:i/>
          <w:iCs/>
        </w:rPr>
        <w:t>分析：。</w:t>
      </w:r>
    </w:p>
    <w:p w14:paraId="38F58AD8" w14:textId="77777777" w:rsidR="00AA0D07" w:rsidRPr="00DC7999" w:rsidRDefault="00AA0D07" w:rsidP="007B6EB6">
      <w:pPr>
        <w:pStyle w:val="a8"/>
        <w:numPr>
          <w:ilvl w:val="3"/>
          <w:numId w:val="17"/>
        </w:numPr>
        <w:ind w:firstLineChars="0"/>
        <w:jc w:val="left"/>
        <w:outlineLvl w:val="1"/>
        <w:rPr>
          <w:b/>
        </w:rPr>
      </w:pPr>
      <w:r w:rsidRPr="00DC7999">
        <w:rPr>
          <w:rFonts w:hint="eastAsia"/>
          <w:b/>
        </w:rPr>
        <w:t>理想汽车与禾赛科技达成激光雷达战略合作</w:t>
      </w:r>
    </w:p>
    <w:p w14:paraId="3EDC513E" w14:textId="77777777" w:rsidR="00AA0D07" w:rsidRDefault="00AA0D07" w:rsidP="007B6EB6">
      <w:r>
        <w:t>7月9日，激光雷达初创企业禾赛科技宣布，已经与理想汽车达成基于车规级混合固态激光雷达的合作，此次合作将基于禾赛最新一代高度芯片化的车规级混合固态激光雷达解决方案。如果不出意外，该款激光雷达将会出现在理想汽车下一个全新车型X01上。</w:t>
      </w:r>
    </w:p>
    <w:p w14:paraId="25258A05" w14:textId="77777777" w:rsidR="00AA0D07" w:rsidRDefault="00AA0D07" w:rsidP="007B6EB6">
      <w:pPr>
        <w:rPr>
          <w:rFonts w:cs="宋体"/>
          <w:b/>
          <w:bCs/>
          <w:i/>
          <w:iCs/>
        </w:rPr>
      </w:pPr>
      <w:r w:rsidRPr="00272A7B">
        <w:rPr>
          <w:rFonts w:cs="宋体" w:hint="eastAsia"/>
          <w:b/>
          <w:bCs/>
          <w:i/>
          <w:iCs/>
        </w:rPr>
        <w:t>分析：。</w:t>
      </w:r>
    </w:p>
    <w:p w14:paraId="1A09F477" w14:textId="7F45B410" w:rsidR="00AA0D07" w:rsidRPr="002C0928" w:rsidRDefault="00AA0D07" w:rsidP="007B6EB6">
      <w:pPr>
        <w:pStyle w:val="a8"/>
        <w:numPr>
          <w:ilvl w:val="3"/>
          <w:numId w:val="17"/>
        </w:numPr>
        <w:ind w:firstLineChars="0"/>
        <w:jc w:val="left"/>
        <w:outlineLvl w:val="1"/>
        <w:rPr>
          <w:b/>
        </w:rPr>
      </w:pPr>
      <w:r w:rsidRPr="002C0928">
        <w:rPr>
          <w:rFonts w:hint="eastAsia"/>
          <w:b/>
        </w:rPr>
        <w:t>零跑汽车朱江明：</w:t>
      </w:r>
      <w:r w:rsidRPr="002C0928">
        <w:rPr>
          <w:b/>
        </w:rPr>
        <w:t>2025年年产80</w:t>
      </w:r>
      <w:r w:rsidR="00EB0764">
        <w:rPr>
          <w:b/>
        </w:rPr>
        <w:t>万辆</w:t>
      </w:r>
      <w:r w:rsidRPr="002C0928">
        <w:rPr>
          <w:b/>
        </w:rPr>
        <w:t>，自动驾驶3年超特斯拉</w:t>
      </w:r>
    </w:p>
    <w:p w14:paraId="0AF43746" w14:textId="66820321" w:rsidR="00AA0D07" w:rsidRDefault="00AA0D07" w:rsidP="007B6EB6">
      <w:r w:rsidRPr="006D073D">
        <w:t>7月15日，零跑汽车在浙江金华宣布了2025年的企业战略计划，创始人朱江明宣布公司将在2025年实现80</w:t>
      </w:r>
      <w:r w:rsidR="00EB0764">
        <w:t>万辆</w:t>
      </w:r>
      <w:r w:rsidRPr="006D073D">
        <w:t>产能。</w:t>
      </w:r>
    </w:p>
    <w:p w14:paraId="55F93B31" w14:textId="77777777" w:rsidR="00AA0D07" w:rsidRDefault="00AA0D07" w:rsidP="007B6EB6">
      <w:pPr>
        <w:rPr>
          <w:rFonts w:cs="宋体"/>
          <w:b/>
          <w:bCs/>
          <w:i/>
          <w:iCs/>
        </w:rPr>
      </w:pPr>
      <w:r w:rsidRPr="00272A7B">
        <w:rPr>
          <w:rFonts w:cs="宋体" w:hint="eastAsia"/>
          <w:b/>
          <w:bCs/>
          <w:i/>
          <w:iCs/>
        </w:rPr>
        <w:t>分析：。</w:t>
      </w:r>
    </w:p>
    <w:p w14:paraId="0A971E62" w14:textId="77777777" w:rsidR="00AA0D07" w:rsidRPr="006734CA" w:rsidRDefault="00AA0D07" w:rsidP="007B6EB6">
      <w:pPr>
        <w:pStyle w:val="a8"/>
        <w:numPr>
          <w:ilvl w:val="3"/>
          <w:numId w:val="17"/>
        </w:numPr>
        <w:ind w:firstLineChars="0"/>
        <w:jc w:val="left"/>
        <w:outlineLvl w:val="1"/>
        <w:rPr>
          <w:b/>
        </w:rPr>
      </w:pPr>
      <w:r w:rsidRPr="006734CA">
        <w:rPr>
          <w:rFonts w:hint="eastAsia"/>
          <w:b/>
        </w:rPr>
        <w:t>上汽奥迪与阿里云达成合作</w:t>
      </w:r>
      <w:r w:rsidRPr="006734CA">
        <w:rPr>
          <w:b/>
        </w:rPr>
        <w:t>涵车联网等领域</w:t>
      </w:r>
    </w:p>
    <w:p w14:paraId="62754BB3" w14:textId="77777777" w:rsidR="00AA0D07" w:rsidRDefault="00AA0D07" w:rsidP="007B6EB6">
      <w:r>
        <w:rPr>
          <w:rFonts w:hint="eastAsia"/>
        </w:rPr>
        <w:t>从官方获悉，上汽奥迪与阿里云宣布正式达成合作。合作内容涵盖全域营销、车联网、数字生态、智慧物流建设等领域。上汽奥迪将在支付宝、天猫养车等阿里生态平台开展品牌会员服务及营销活动，提升用户的粘性和活跃度。</w:t>
      </w:r>
    </w:p>
    <w:p w14:paraId="48E5F169" w14:textId="77777777" w:rsidR="00AA0D07" w:rsidRDefault="00AA0D07" w:rsidP="007B6EB6">
      <w:pPr>
        <w:ind w:left="210" w:hangingChars="100" w:hanging="210"/>
        <w:rPr>
          <w:rFonts w:cs="宋体"/>
          <w:b/>
          <w:bCs/>
          <w:i/>
          <w:iCs/>
        </w:rPr>
      </w:pPr>
      <w:r w:rsidRPr="00F94E69">
        <w:rPr>
          <w:rFonts w:cs="宋体" w:hint="eastAsia"/>
          <w:b/>
          <w:bCs/>
          <w:i/>
          <w:iCs/>
        </w:rPr>
        <w:t>分析：。</w:t>
      </w:r>
    </w:p>
    <w:p w14:paraId="386B2BC0" w14:textId="77777777" w:rsidR="00AA0D07" w:rsidRPr="009E5E1B" w:rsidRDefault="00AA0D07" w:rsidP="007B6EB6">
      <w:pPr>
        <w:pStyle w:val="a8"/>
        <w:numPr>
          <w:ilvl w:val="3"/>
          <w:numId w:val="17"/>
        </w:numPr>
        <w:ind w:firstLineChars="0"/>
        <w:jc w:val="left"/>
        <w:outlineLvl w:val="1"/>
        <w:rPr>
          <w:b/>
        </w:rPr>
      </w:pPr>
      <w:r w:rsidRPr="009E5E1B">
        <w:rPr>
          <w:rFonts w:hint="eastAsia"/>
          <w:b/>
        </w:rPr>
        <w:t>上汽大众与华为联合发布全栈一体化仿真平台</w:t>
      </w:r>
    </w:p>
    <w:p w14:paraId="027A4017" w14:textId="77777777" w:rsidR="00AA0D07" w:rsidRDefault="00AA0D07" w:rsidP="007B6EB6">
      <w:r>
        <w:t>7月9日，上汽大众官方宣布，其同华为于日前联合发布“全栈一体化仿真平台”解决方案。基于此，上汽大众高性能流体力学仿真新平台正式上线，这也是同类方案在中国汽车行业的首个规模应用。</w:t>
      </w:r>
    </w:p>
    <w:p w14:paraId="26F975F1" w14:textId="77777777" w:rsidR="00AA0D07" w:rsidRDefault="00AA0D07" w:rsidP="007B6EB6">
      <w:r>
        <w:rPr>
          <w:rFonts w:hint="eastAsia"/>
        </w:rPr>
        <w:t>据悉，这并非双方的首次合作，汽车产业技术正围绕用户需求不断革新，上汽大众的股东双方上汽集团、大众汽车集团都在从传统汽车制造商向未来移动出行服务提供者加速进化，并与包括华为在内的各大创新型汽车解决方案供应商展开良好合作。</w:t>
      </w:r>
    </w:p>
    <w:p w14:paraId="4B2E723F" w14:textId="77777777" w:rsidR="00AA0D07" w:rsidRDefault="00AA0D07" w:rsidP="007B6EB6">
      <w:pPr>
        <w:ind w:left="210" w:hangingChars="100" w:hanging="210"/>
        <w:rPr>
          <w:rFonts w:cs="宋体"/>
          <w:b/>
          <w:bCs/>
          <w:i/>
          <w:iCs/>
        </w:rPr>
      </w:pPr>
      <w:r w:rsidRPr="00F94E69">
        <w:rPr>
          <w:rFonts w:cs="宋体" w:hint="eastAsia"/>
          <w:b/>
          <w:bCs/>
          <w:i/>
          <w:iCs/>
        </w:rPr>
        <w:t>分析：。</w:t>
      </w:r>
    </w:p>
    <w:p w14:paraId="4FE1C79B" w14:textId="77777777" w:rsidR="00AA0D07" w:rsidRPr="00342D10" w:rsidRDefault="00AA0D07" w:rsidP="007B6EB6">
      <w:pPr>
        <w:pStyle w:val="a8"/>
        <w:numPr>
          <w:ilvl w:val="3"/>
          <w:numId w:val="17"/>
        </w:numPr>
        <w:ind w:firstLineChars="0"/>
        <w:jc w:val="left"/>
        <w:outlineLvl w:val="1"/>
        <w:rPr>
          <w:b/>
        </w:rPr>
      </w:pPr>
      <w:r w:rsidRPr="00342D10">
        <w:rPr>
          <w:rFonts w:hint="eastAsia"/>
          <w:b/>
        </w:rPr>
        <w:t>特斯拉首批国产</w:t>
      </w:r>
      <w:r w:rsidRPr="00342D10">
        <w:rPr>
          <w:b/>
        </w:rPr>
        <w:t>ModelY将于8月交付欧洲</w:t>
      </w:r>
    </w:p>
    <w:p w14:paraId="23B374A7" w14:textId="77777777" w:rsidR="00AA0D07" w:rsidRDefault="00AA0D07" w:rsidP="007B6EB6">
      <w:r w:rsidRPr="006D073D">
        <w:rPr>
          <w:rFonts w:hint="eastAsia"/>
        </w:rPr>
        <w:t>特斯拉上海超级工厂目前生产的型号包括</w:t>
      </w:r>
      <w:r w:rsidRPr="006D073D">
        <w:t>Model3和ModelY，其中ModelY刚刚增加了标准续航版。从特斯拉中国官网可在，新款ModelY标准续航版起售价为276000元，续航里程（国标工况法）达到525公里。</w:t>
      </w:r>
    </w:p>
    <w:p w14:paraId="368F015C" w14:textId="77777777" w:rsidR="00AA0D07" w:rsidRDefault="00AA0D07" w:rsidP="007B6EB6">
      <w:pPr>
        <w:rPr>
          <w:rFonts w:cs="宋体"/>
          <w:b/>
          <w:bCs/>
          <w:i/>
          <w:iCs/>
        </w:rPr>
      </w:pPr>
      <w:r w:rsidRPr="00272A7B">
        <w:rPr>
          <w:rFonts w:cs="宋体" w:hint="eastAsia"/>
          <w:b/>
          <w:bCs/>
          <w:i/>
          <w:iCs/>
        </w:rPr>
        <w:t>分析：。</w:t>
      </w:r>
    </w:p>
    <w:p w14:paraId="27340655" w14:textId="77777777" w:rsidR="00AA0D07" w:rsidRPr="006734CA" w:rsidRDefault="00AA0D07" w:rsidP="007B6EB6">
      <w:pPr>
        <w:pStyle w:val="a8"/>
        <w:numPr>
          <w:ilvl w:val="3"/>
          <w:numId w:val="17"/>
        </w:numPr>
        <w:ind w:firstLineChars="0"/>
        <w:jc w:val="left"/>
        <w:outlineLvl w:val="1"/>
        <w:rPr>
          <w:b/>
        </w:rPr>
      </w:pPr>
      <w:r w:rsidRPr="006734CA">
        <w:rPr>
          <w:rFonts w:hint="eastAsia"/>
          <w:b/>
        </w:rPr>
        <w:t>天际</w:t>
      </w:r>
      <w:r w:rsidRPr="006734CA">
        <w:rPr>
          <w:b/>
        </w:rPr>
        <w:t>/京东战略合作落地打通全营销链路</w:t>
      </w:r>
    </w:p>
    <w:p w14:paraId="11E3B18A" w14:textId="77777777" w:rsidR="00AA0D07" w:rsidRDefault="00AA0D07" w:rsidP="007B6EB6">
      <w:r>
        <w:rPr>
          <w:rFonts w:hint="eastAsia"/>
        </w:rPr>
        <w:t>天际汽车与京东汽车战略合作发布会在北京举行，天际汽车将与京东汽车京车会就线上线下销售、服务全营销链路打通达成合作。</w:t>
      </w:r>
    </w:p>
    <w:p w14:paraId="671EB99F" w14:textId="77777777" w:rsidR="00AA0D07" w:rsidRDefault="00AA0D07" w:rsidP="007B6EB6">
      <w:r>
        <w:rPr>
          <w:rFonts w:hint="eastAsia"/>
        </w:rPr>
        <w:t>此前，双方合作定制的首款车型天际</w:t>
      </w:r>
      <w:r>
        <w:t>ME5PLUS京东定制，6月17日开启京东众筹，截止6月18日，订单便突破2000台。</w:t>
      </w:r>
    </w:p>
    <w:p w14:paraId="20C3F556" w14:textId="77777777" w:rsidR="00AA0D07" w:rsidRDefault="00AA0D07" w:rsidP="007B6EB6">
      <w:r>
        <w:rPr>
          <w:rFonts w:hint="eastAsia"/>
        </w:rPr>
        <w:t>未来，天际汽车与京东汽车将基于数字化营销深度互通、智能产品深度定制等展开更加广域的合作，全面打造多方共享的智能物联生态网络，实现全面融合的娱乐生态、金融生态、生活生态、出行生态、物流生态，进而实现天际汽车“引领未来智能移动生活的变革”的终极目标。</w:t>
      </w:r>
    </w:p>
    <w:p w14:paraId="18A79F4A" w14:textId="77777777" w:rsidR="00AA0D07" w:rsidRDefault="00AA0D07" w:rsidP="007B6EB6">
      <w:pPr>
        <w:ind w:left="210" w:hangingChars="100" w:hanging="210"/>
        <w:rPr>
          <w:rFonts w:cs="宋体"/>
          <w:b/>
          <w:bCs/>
          <w:i/>
          <w:iCs/>
        </w:rPr>
      </w:pPr>
      <w:r w:rsidRPr="00F94E69">
        <w:rPr>
          <w:rFonts w:cs="宋体" w:hint="eastAsia"/>
          <w:b/>
          <w:bCs/>
          <w:i/>
          <w:iCs/>
        </w:rPr>
        <w:t>分析：。</w:t>
      </w:r>
    </w:p>
    <w:p w14:paraId="07E3C3AF" w14:textId="77777777" w:rsidR="00AA0D07" w:rsidRPr="006734CA" w:rsidRDefault="00AA0D07" w:rsidP="007B6EB6">
      <w:pPr>
        <w:pStyle w:val="a8"/>
        <w:numPr>
          <w:ilvl w:val="3"/>
          <w:numId w:val="17"/>
        </w:numPr>
        <w:ind w:firstLineChars="0"/>
        <w:jc w:val="left"/>
        <w:outlineLvl w:val="1"/>
        <w:rPr>
          <w:b/>
        </w:rPr>
      </w:pPr>
      <w:r w:rsidRPr="006734CA">
        <w:rPr>
          <w:rFonts w:hint="eastAsia"/>
          <w:b/>
        </w:rPr>
        <w:t>威马发布双</w:t>
      </w:r>
      <w:r w:rsidRPr="006734CA">
        <w:rPr>
          <w:b/>
        </w:rPr>
        <w:t>LOGO品牌战略首款轿车M7年内发布</w:t>
      </w:r>
    </w:p>
    <w:p w14:paraId="47D6C938" w14:textId="77777777" w:rsidR="00AA0D07" w:rsidRDefault="00AA0D07" w:rsidP="007B6EB6">
      <w:r>
        <w:t>威马在北京举办年中媒体沟通会，官方公布了2021年下半年的公司重要举措以及轿车战略规划。威马还公布了双LOGO战略，全新超椭圆LOGO发布；威马首款纯电动轿车也计划于2021年内发布，官方表示该车将会配备多激光雷达并拥有500-1000TOPS的算力。</w:t>
      </w:r>
    </w:p>
    <w:p w14:paraId="15F24F79" w14:textId="77777777" w:rsidR="00AA0D07" w:rsidRDefault="00AA0D07" w:rsidP="007B6EB6">
      <w:r>
        <w:rPr>
          <w:rFonts w:hint="eastAsia"/>
        </w:rPr>
        <w:t>威马汽车表示，首款面向个人用户的轿车将在年底亮相。未来，威马汽车将采用</w:t>
      </w:r>
      <w:r>
        <w:t>W、M、E三大系列，其中SUV为W系列，轿车为M系列，而面对个人用户的为E系列市场。</w:t>
      </w:r>
    </w:p>
    <w:p w14:paraId="0BDF9E8A" w14:textId="77777777" w:rsidR="00AA0D07" w:rsidRDefault="00AA0D07" w:rsidP="007B6EB6">
      <w:pPr>
        <w:ind w:left="210" w:hangingChars="100" w:hanging="210"/>
        <w:rPr>
          <w:rFonts w:cs="宋体"/>
          <w:b/>
          <w:bCs/>
          <w:i/>
          <w:iCs/>
        </w:rPr>
      </w:pPr>
      <w:r w:rsidRPr="00F94E69">
        <w:rPr>
          <w:rFonts w:cs="宋体" w:hint="eastAsia"/>
          <w:b/>
          <w:bCs/>
          <w:i/>
          <w:iCs/>
        </w:rPr>
        <w:t>分析：。</w:t>
      </w:r>
    </w:p>
    <w:p w14:paraId="126F882D" w14:textId="77777777" w:rsidR="00AA0D07" w:rsidRPr="00F36EF4" w:rsidRDefault="00AA0D07" w:rsidP="007B6EB6">
      <w:pPr>
        <w:pStyle w:val="a8"/>
        <w:numPr>
          <w:ilvl w:val="3"/>
          <w:numId w:val="17"/>
        </w:numPr>
        <w:ind w:firstLineChars="0"/>
        <w:jc w:val="left"/>
        <w:outlineLvl w:val="1"/>
        <w:rPr>
          <w:b/>
        </w:rPr>
      </w:pPr>
      <w:r w:rsidRPr="00F36EF4">
        <w:rPr>
          <w:rFonts w:hint="eastAsia"/>
          <w:b/>
        </w:rPr>
        <w:t>蔚来</w:t>
      </w:r>
      <w:r w:rsidRPr="00F36EF4">
        <w:rPr>
          <w:b/>
        </w:rPr>
        <w:t>NIOPilot用户累计行驶里程超2亿公里</w:t>
      </w:r>
    </w:p>
    <w:p w14:paraId="5BC7E12A" w14:textId="77777777" w:rsidR="00AA0D07" w:rsidRDefault="00AA0D07" w:rsidP="007B6EB6">
      <w:r w:rsidRPr="0022585B">
        <w:t>7月14日，蔚来官方宣布，截至7月13日24:00，用户使用NIOPilot自动辅助驾驶系统的累计行驶里程达到200,543,216公里。</w:t>
      </w:r>
    </w:p>
    <w:p w14:paraId="1E15F8A7" w14:textId="77777777" w:rsidR="00AA0D07" w:rsidRDefault="00AA0D07" w:rsidP="007B6EB6">
      <w:pPr>
        <w:rPr>
          <w:rFonts w:cs="宋体"/>
          <w:b/>
          <w:bCs/>
          <w:i/>
          <w:iCs/>
        </w:rPr>
      </w:pPr>
      <w:r w:rsidRPr="00272A7B">
        <w:rPr>
          <w:rFonts w:cs="宋体" w:hint="eastAsia"/>
          <w:b/>
          <w:bCs/>
          <w:i/>
          <w:iCs/>
        </w:rPr>
        <w:t>分析：。</w:t>
      </w:r>
    </w:p>
    <w:p w14:paraId="6FE62CEE" w14:textId="77777777" w:rsidR="00AA0D07" w:rsidRPr="0064403F" w:rsidRDefault="00AA0D07" w:rsidP="007B6EB6">
      <w:pPr>
        <w:pStyle w:val="a8"/>
        <w:numPr>
          <w:ilvl w:val="3"/>
          <w:numId w:val="17"/>
        </w:numPr>
        <w:ind w:firstLineChars="0"/>
        <w:jc w:val="left"/>
        <w:outlineLvl w:val="1"/>
        <w:rPr>
          <w:b/>
        </w:rPr>
      </w:pPr>
      <w:r w:rsidRPr="0064403F">
        <w:rPr>
          <w:b/>
        </w:rPr>
        <w:t>蔚来</w:t>
      </w:r>
      <w:r w:rsidRPr="0064403F">
        <w:rPr>
          <w:rFonts w:hint="eastAsia"/>
          <w:b/>
        </w:rPr>
        <w:t>至</w:t>
      </w:r>
      <w:r w:rsidRPr="0064403F">
        <w:rPr>
          <w:b/>
        </w:rPr>
        <w:t>2025年底全球换电站将超4000座</w:t>
      </w:r>
    </w:p>
    <w:p w14:paraId="6C56A503" w14:textId="77777777" w:rsidR="00AA0D07" w:rsidRDefault="00AA0D07" w:rsidP="007B6EB6">
      <w:r w:rsidRPr="00B75D2C">
        <w:t>7月9日，蔚来发布NIOPower2025换电站布局计划。据悉，为向持续快速增加的用户提供更好的加电服务，蔚来将加快NIOPower充换电网络建设：蔚来2021年换电站建成目标总数由500座提升为700座以上；从2022年至2025年，在中国市场每年新增600座换电站；至2025年底，蔚来换电站全球总数将超4000座，其中中国以外市场的换电站约1000座。</w:t>
      </w:r>
    </w:p>
    <w:p w14:paraId="53055C59" w14:textId="77777777" w:rsidR="00AA0D07" w:rsidRDefault="00AA0D07" w:rsidP="007B6EB6">
      <w:pPr>
        <w:rPr>
          <w:rFonts w:cs="宋体"/>
          <w:b/>
          <w:bCs/>
          <w:i/>
          <w:iCs/>
        </w:rPr>
      </w:pPr>
      <w:r w:rsidRPr="00272A7B">
        <w:rPr>
          <w:rFonts w:cs="宋体" w:hint="eastAsia"/>
          <w:b/>
          <w:bCs/>
          <w:i/>
          <w:iCs/>
        </w:rPr>
        <w:t>分析：。</w:t>
      </w:r>
    </w:p>
    <w:p w14:paraId="0FB4B0B4" w14:textId="5A147DD8" w:rsidR="00AA0D07" w:rsidRPr="00A76303" w:rsidRDefault="00AA0D07" w:rsidP="007B6EB6">
      <w:pPr>
        <w:pStyle w:val="a8"/>
        <w:numPr>
          <w:ilvl w:val="3"/>
          <w:numId w:val="17"/>
        </w:numPr>
        <w:ind w:firstLineChars="0"/>
        <w:jc w:val="left"/>
        <w:outlineLvl w:val="1"/>
        <w:rPr>
          <w:b/>
        </w:rPr>
      </w:pPr>
      <w:r w:rsidRPr="00A76303">
        <w:rPr>
          <w:b/>
        </w:rPr>
        <w:t>特斯拉</w:t>
      </w:r>
      <w:r w:rsidRPr="00A76303">
        <w:rPr>
          <w:rFonts w:hint="eastAsia"/>
          <w:b/>
        </w:rPr>
        <w:t>西部地区最大</w:t>
      </w:r>
      <w:r w:rsidRPr="00A76303">
        <w:rPr>
          <w:b/>
        </w:rPr>
        <w:t>西安交付中心开业</w:t>
      </w:r>
    </w:p>
    <w:p w14:paraId="21EBB239" w14:textId="77777777" w:rsidR="00AA0D07" w:rsidRDefault="00AA0D07" w:rsidP="007B6EB6">
      <w:r>
        <w:rPr>
          <w:rFonts w:hint="eastAsia"/>
        </w:rPr>
        <w:t>特斯拉西安交付中心正式营业，这是特斯拉在中国西北地区规模最大的交付中心，也是特斯拉开拓西北市场的重要一站。特斯拉西安交付中心提供提车一体化服务和车主讲堂等设置，集合了交付前验车、汽车美容、保险咨询、临牌办理等业务。特斯拉采用了模块化流水线的交付模式，并推出</w:t>
      </w:r>
      <w:r>
        <w:t>DeliveryVision智能交付系统，用户可以通过该系统确认预计交车时间，员工可根据信息更好的掌握用户业务办理状态，而交付中心也能更有效地分配交付现场的人力资源，提高交付速度，实现交付的数字化、智能化。</w:t>
      </w:r>
    </w:p>
    <w:p w14:paraId="6A20FD76" w14:textId="77777777" w:rsidR="00AA0D07" w:rsidRDefault="00AA0D07" w:rsidP="007B6EB6">
      <w:pPr>
        <w:rPr>
          <w:rFonts w:cs="宋体"/>
          <w:b/>
          <w:bCs/>
          <w:i/>
          <w:iCs/>
        </w:rPr>
      </w:pPr>
      <w:r w:rsidRPr="00272A7B">
        <w:rPr>
          <w:rFonts w:cs="宋体" w:hint="eastAsia"/>
          <w:b/>
          <w:bCs/>
          <w:i/>
          <w:iCs/>
        </w:rPr>
        <w:t>分析：。</w:t>
      </w:r>
    </w:p>
    <w:p w14:paraId="1A2D906D" w14:textId="77777777" w:rsidR="00AA0D07" w:rsidRPr="0064403F" w:rsidRDefault="00AA0D07" w:rsidP="007B6EB6">
      <w:pPr>
        <w:pStyle w:val="a8"/>
        <w:numPr>
          <w:ilvl w:val="3"/>
          <w:numId w:val="17"/>
        </w:numPr>
        <w:ind w:firstLineChars="0"/>
        <w:jc w:val="left"/>
        <w:outlineLvl w:val="1"/>
        <w:rPr>
          <w:b/>
        </w:rPr>
      </w:pPr>
      <w:r w:rsidRPr="0064403F">
        <w:rPr>
          <w:rFonts w:hint="eastAsia"/>
          <w:b/>
        </w:rPr>
        <w:t>小鹏免费充电政策调整</w:t>
      </w:r>
      <w:r w:rsidRPr="0064403F">
        <w:rPr>
          <w:b/>
        </w:rPr>
        <w:t>:老车主3千度不变</w:t>
      </w:r>
    </w:p>
    <w:p w14:paraId="610A6091" w14:textId="77777777" w:rsidR="00AA0D07" w:rsidRDefault="00AA0D07" w:rsidP="007B6EB6">
      <w:r>
        <w:rPr>
          <w:rFonts w:hint="eastAsia"/>
        </w:rPr>
        <w:t>此前，小鹏汽车宣布推出免费充电政策，每位非营运车主，每年可享受</w:t>
      </w:r>
      <w:r>
        <w:t>3千度免费充电优惠。不过，而今，随着车主群体的扩大，和充电优惠政策的调整，这项政策也迎来了变动。</w:t>
      </w:r>
    </w:p>
    <w:p w14:paraId="662772A4" w14:textId="77777777" w:rsidR="00AA0D07" w:rsidRDefault="00AA0D07" w:rsidP="007B6EB6">
      <w:r>
        <w:rPr>
          <w:rFonts w:hint="eastAsia"/>
        </w:rPr>
        <w:t>日前，小鹏汽车免费充电政策官宣调整：</w:t>
      </w:r>
    </w:p>
    <w:p w14:paraId="1265E0DC" w14:textId="77777777" w:rsidR="00AA0D07" w:rsidRDefault="00AA0D07" w:rsidP="007B6EB6">
      <w:r>
        <w:t>1、8月1日后下定的客户，免费充电额度降至每年1000度；2、7月31日前下定的客户，免费充电额度仍然是每年3000度；（也就是老客户不影响）3、P5作为还未交付的全新车型，政策也较为特殊。已经完成P5预定的，不受影响；未来是不是调整待定。</w:t>
      </w:r>
    </w:p>
    <w:p w14:paraId="6970253F" w14:textId="77777777" w:rsidR="00AA0D07" w:rsidRDefault="00AA0D07" w:rsidP="007B6EB6">
      <w:r>
        <w:rPr>
          <w:rFonts w:hint="eastAsia"/>
        </w:rPr>
        <w:t>对于老车主来说，免费充电政策没有改变，而新车主则缩水为</w:t>
      </w:r>
      <w:r>
        <w:t>1/3。</w:t>
      </w:r>
    </w:p>
    <w:p w14:paraId="0E51CD1D" w14:textId="77777777" w:rsidR="00AA0D07" w:rsidRDefault="00AA0D07" w:rsidP="007B6EB6">
      <w:pPr>
        <w:rPr>
          <w:rFonts w:cs="宋体"/>
          <w:b/>
          <w:bCs/>
          <w:i/>
          <w:iCs/>
        </w:rPr>
      </w:pPr>
      <w:r w:rsidRPr="00272A7B">
        <w:rPr>
          <w:rFonts w:cs="宋体" w:hint="eastAsia"/>
          <w:b/>
          <w:bCs/>
          <w:i/>
          <w:iCs/>
        </w:rPr>
        <w:t>分析：。</w:t>
      </w:r>
    </w:p>
    <w:p w14:paraId="7336823C" w14:textId="77777777" w:rsidR="00AA0D07" w:rsidRPr="00B60706" w:rsidRDefault="00AA0D07" w:rsidP="007B6EB6">
      <w:pPr>
        <w:pStyle w:val="a8"/>
        <w:numPr>
          <w:ilvl w:val="3"/>
          <w:numId w:val="17"/>
        </w:numPr>
        <w:ind w:firstLineChars="0"/>
        <w:jc w:val="left"/>
        <w:outlineLvl w:val="1"/>
        <w:rPr>
          <w:b/>
        </w:rPr>
      </w:pPr>
      <w:r w:rsidRPr="00B60706">
        <w:rPr>
          <w:rFonts w:hint="eastAsia"/>
          <w:b/>
        </w:rPr>
        <w:t>小鹏自营超充站超过</w:t>
      </w:r>
      <w:r w:rsidRPr="00B60706">
        <w:rPr>
          <w:b/>
        </w:rPr>
        <w:t>230座</w:t>
      </w:r>
    </w:p>
    <w:p w14:paraId="0D2F3A8D" w14:textId="77777777" w:rsidR="00AA0D07" w:rsidRDefault="00AA0D07" w:rsidP="007B6EB6">
      <w:r w:rsidRPr="00057988">
        <w:t>7月16日，小鹏汽车宣布，小鹏品牌充电站达到237座，其中6月份新增了19座小鹏超充品牌站，西安、南京、茂名三地分别迎来了该城的首座小鹏超充品牌站。</w:t>
      </w:r>
    </w:p>
    <w:p w14:paraId="67E5E559" w14:textId="2ED86007" w:rsidR="00AA0D07" w:rsidRDefault="00AA0D07" w:rsidP="007B6EB6">
      <w:pPr>
        <w:rPr>
          <w:rFonts w:cs="宋体"/>
          <w:b/>
          <w:bCs/>
          <w:i/>
          <w:iCs/>
        </w:rPr>
      </w:pPr>
      <w:r w:rsidRPr="00272A7B">
        <w:rPr>
          <w:rFonts w:cs="宋体" w:hint="eastAsia"/>
          <w:b/>
          <w:bCs/>
          <w:i/>
          <w:iCs/>
        </w:rPr>
        <w:t>分析：。</w:t>
      </w:r>
    </w:p>
    <w:p w14:paraId="3DE8A963" w14:textId="77777777" w:rsidR="008B692A" w:rsidRDefault="008B692A" w:rsidP="007B6EB6">
      <w:pPr>
        <w:rPr>
          <w:rFonts w:cs="宋体"/>
          <w:b/>
          <w:bCs/>
          <w:i/>
          <w:iCs/>
        </w:rPr>
      </w:pPr>
    </w:p>
    <w:p w14:paraId="48A87C1A" w14:textId="77777777" w:rsidR="007B6EB6" w:rsidRPr="00D02F70" w:rsidRDefault="007B6EB6" w:rsidP="007B6EB6">
      <w:pPr>
        <w:pStyle w:val="a8"/>
        <w:numPr>
          <w:ilvl w:val="0"/>
          <w:numId w:val="4"/>
        </w:numPr>
        <w:ind w:firstLineChars="0"/>
        <w:outlineLvl w:val="0"/>
        <w:rPr>
          <w:b/>
        </w:rPr>
      </w:pPr>
      <w:r>
        <w:rPr>
          <w:rFonts w:hint="eastAsia"/>
          <w:b/>
        </w:rPr>
        <w:t>行业信息</w:t>
      </w:r>
    </w:p>
    <w:p w14:paraId="4DDC9E08" w14:textId="77777777" w:rsidR="00AA0D07" w:rsidRPr="0064403F" w:rsidRDefault="00AA0D07" w:rsidP="001D0350">
      <w:pPr>
        <w:pStyle w:val="a8"/>
        <w:numPr>
          <w:ilvl w:val="0"/>
          <w:numId w:val="22"/>
        </w:numPr>
        <w:ind w:firstLineChars="0"/>
        <w:outlineLvl w:val="1"/>
        <w:rPr>
          <w:b/>
        </w:rPr>
      </w:pPr>
      <w:r w:rsidRPr="0064403F">
        <w:rPr>
          <w:rFonts w:hint="eastAsia"/>
          <w:b/>
        </w:rPr>
        <w:t>海南率先实施车险投保实名认证试点工作</w:t>
      </w:r>
    </w:p>
    <w:p w14:paraId="6D427484" w14:textId="56189374" w:rsidR="00AA0D07" w:rsidRDefault="00AA0D07" w:rsidP="00BE5DF9">
      <w:r>
        <w:t>7月12日从海南省保险行业协会获悉，海南省自7月10日0时起在全省范围内实施机动车辆保险投保实名认证系统试点工作，这是全国范围内第一个上线投保实名认证系统的省级辖区，系统上线后标志着海南地区车险投保全流程实现了线上化，消费者可以随时、随地在线上即可完成投保。</w:t>
      </w:r>
    </w:p>
    <w:p w14:paraId="297CEB42" w14:textId="77777777" w:rsidR="00AA0D07" w:rsidRDefault="00AA0D07" w:rsidP="00AA0D07">
      <w:r>
        <w:rPr>
          <w:rFonts w:hint="eastAsia"/>
        </w:rPr>
        <w:t>据了解，投保实名认证系统最核心的内容就是人脸识别、线上签署电子投保单。</w:t>
      </w:r>
    </w:p>
    <w:p w14:paraId="385A0DD5" w14:textId="77777777" w:rsidR="00AA0D07" w:rsidRDefault="00AA0D07" w:rsidP="00AA0D07">
      <w:pPr>
        <w:rPr>
          <w:rFonts w:cs="宋体"/>
          <w:b/>
          <w:bCs/>
          <w:i/>
          <w:iCs/>
        </w:rPr>
      </w:pPr>
      <w:r w:rsidRPr="00272A7B">
        <w:rPr>
          <w:rFonts w:cs="宋体" w:hint="eastAsia"/>
          <w:b/>
          <w:bCs/>
          <w:i/>
          <w:iCs/>
        </w:rPr>
        <w:t>分析：。</w:t>
      </w:r>
    </w:p>
    <w:p w14:paraId="3A7A05D4" w14:textId="77777777" w:rsidR="00AA0D07" w:rsidRPr="0064403F" w:rsidRDefault="00AA0D07" w:rsidP="001D0350">
      <w:pPr>
        <w:pStyle w:val="a8"/>
        <w:numPr>
          <w:ilvl w:val="0"/>
          <w:numId w:val="22"/>
        </w:numPr>
        <w:ind w:firstLineChars="0"/>
        <w:outlineLvl w:val="1"/>
        <w:rPr>
          <w:b/>
        </w:rPr>
      </w:pPr>
      <w:r w:rsidRPr="0064403F">
        <w:rPr>
          <w:rFonts w:hint="eastAsia"/>
          <w:b/>
        </w:rPr>
        <w:t>车险前</w:t>
      </w:r>
      <w:r w:rsidRPr="0064403F">
        <w:rPr>
          <w:b/>
        </w:rPr>
        <w:t>5个月增速现“剪刀差”</w:t>
      </w:r>
    </w:p>
    <w:p w14:paraId="763E6B5B" w14:textId="77777777" w:rsidR="00AA0D07" w:rsidRDefault="00AA0D07" w:rsidP="007B6EB6">
      <w:r>
        <w:rPr>
          <w:rFonts w:hint="eastAsia"/>
        </w:rPr>
        <w:t>银保监会近期披露的数据显示，今年前</w:t>
      </w:r>
      <w:r>
        <w:t>5个月车险保费达3140亿元，同比下降7%；不过，车险保额达323.8万亿元，同比增速高达67%。车险保费增速与保额增速出现了明显的“剪刀差”。</w:t>
      </w:r>
    </w:p>
    <w:p w14:paraId="53A97DFD" w14:textId="77777777" w:rsidR="00AA0D07" w:rsidRDefault="00AA0D07" w:rsidP="007B6EB6">
      <w:r>
        <w:rPr>
          <w:rFonts w:hint="eastAsia"/>
        </w:rPr>
        <w:t>随着车险行业竞争日趋激烈，保费与保额增速保持一定幅度的“剪刀差”较为常见，但类似今年前</w:t>
      </w:r>
      <w:r>
        <w:t>5个月二者同比增速相差74个百分点的现象颇为少见。</w:t>
      </w:r>
    </w:p>
    <w:p w14:paraId="28533D89" w14:textId="77777777" w:rsidR="00AA0D07" w:rsidRDefault="00AA0D07" w:rsidP="007B6EB6">
      <w:pPr>
        <w:rPr>
          <w:rFonts w:cs="宋体"/>
          <w:b/>
          <w:bCs/>
          <w:i/>
          <w:iCs/>
        </w:rPr>
      </w:pPr>
      <w:r w:rsidRPr="00272A7B">
        <w:rPr>
          <w:rFonts w:cs="宋体" w:hint="eastAsia"/>
          <w:b/>
          <w:bCs/>
          <w:i/>
          <w:iCs/>
        </w:rPr>
        <w:t>分析：。</w:t>
      </w:r>
    </w:p>
    <w:p w14:paraId="65084936" w14:textId="2D912813" w:rsidR="006D0549" w:rsidRPr="008B692A" w:rsidRDefault="008B692A" w:rsidP="008B692A">
      <w:pPr>
        <w:jc w:val="left"/>
        <w:outlineLvl w:val="1"/>
        <w:rPr>
          <w:b/>
        </w:rPr>
      </w:pPr>
      <w:r>
        <w:rPr>
          <w:rFonts w:hint="eastAsia"/>
          <w:b/>
        </w:rPr>
        <w:t>3</w:t>
      </w:r>
      <w:r>
        <w:rPr>
          <w:b/>
        </w:rPr>
        <w:t>.</w:t>
      </w:r>
      <w:r w:rsidR="006D0549" w:rsidRPr="008B692A">
        <w:rPr>
          <w:rFonts w:hint="eastAsia"/>
          <w:b/>
        </w:rPr>
        <w:t>潍柴动力拟</w:t>
      </w:r>
      <w:r w:rsidR="006D0549" w:rsidRPr="008B692A">
        <w:rPr>
          <w:b/>
        </w:rPr>
        <w:t>9.85亿元收购雷沃重工部分股份</w:t>
      </w:r>
    </w:p>
    <w:p w14:paraId="09ED92DC" w14:textId="77777777" w:rsidR="006D0549" w:rsidRDefault="006D0549" w:rsidP="006D0549">
      <w:r w:rsidRPr="0003163E">
        <w:t>7月13日，潍柴动力股份有限公司发布《关于潍柴动力股份有限公司对外投资暨关联交易事项的核查意见》，公告称，为进一步开拓高端农业装备市场，强化公司与潍柴雷沃重工股份有限公司战略协同，共同打造高端农业装备动力总成产业链，公司以现金形式分别收购阿波斯科技集团股份有限公司持有的雷沃重工38.62%股份、青特集团有限公司持有的雷沃重工0.69%股份。本次股份收购完成后，公司合计持有雷沃重工39.31%股份，为雷沃重工的第二大股东。</w:t>
      </w:r>
    </w:p>
    <w:p w14:paraId="7A27A728" w14:textId="77777777" w:rsidR="006D0549" w:rsidRDefault="006D0549" w:rsidP="006D0549">
      <w:pPr>
        <w:rPr>
          <w:rFonts w:cs="宋体"/>
          <w:b/>
          <w:bCs/>
          <w:i/>
          <w:iCs/>
        </w:rPr>
      </w:pPr>
      <w:r w:rsidRPr="00272A7B">
        <w:rPr>
          <w:rFonts w:cs="宋体" w:hint="eastAsia"/>
          <w:b/>
          <w:bCs/>
          <w:i/>
          <w:iCs/>
        </w:rPr>
        <w:t>分析：。</w:t>
      </w:r>
    </w:p>
    <w:p w14:paraId="1C6C7675" w14:textId="72702C36" w:rsidR="00AA0D07" w:rsidRPr="008B692A" w:rsidRDefault="008B692A" w:rsidP="008B692A">
      <w:pPr>
        <w:outlineLvl w:val="1"/>
        <w:rPr>
          <w:b/>
        </w:rPr>
      </w:pPr>
      <w:r>
        <w:rPr>
          <w:rFonts w:hint="eastAsia"/>
          <w:b/>
        </w:rPr>
        <w:t>4</w:t>
      </w:r>
      <w:r>
        <w:rPr>
          <w:b/>
        </w:rPr>
        <w:t>.</w:t>
      </w:r>
      <w:r w:rsidR="00AA0D07" w:rsidRPr="008B692A">
        <w:rPr>
          <w:rFonts w:hint="eastAsia"/>
          <w:b/>
        </w:rPr>
        <w:t>动力电池和给排水行业售后服务标准发布并实施</w:t>
      </w:r>
    </w:p>
    <w:p w14:paraId="08091723" w14:textId="77777777" w:rsidR="00AA0D07" w:rsidRDefault="00AA0D07" w:rsidP="007B6EB6">
      <w:r>
        <w:rPr>
          <w:rFonts w:hint="eastAsia"/>
        </w:rPr>
        <w:t>由中国商业联合会立项并发布的《动力电池行业售后服务要求》、《给排水设备设施售后服务要求》两项标准在全国实施。</w:t>
      </w:r>
    </w:p>
    <w:p w14:paraId="5FC948C5" w14:textId="77777777" w:rsidR="00AA0D07" w:rsidRDefault="00AA0D07" w:rsidP="007B6EB6">
      <w:r>
        <w:rPr>
          <w:rFonts w:hint="eastAsia"/>
        </w:rPr>
        <w:t>近年来，动力电池行业、给排水设备设施行业迅速发展，为经济建设助力。随之而来，售后服务涉及面越来越广，要求越来越高。</w:t>
      </w:r>
    </w:p>
    <w:p w14:paraId="47F98A1A" w14:textId="77777777" w:rsidR="00AA0D07" w:rsidRDefault="00AA0D07" w:rsidP="007B6EB6">
      <w:r>
        <w:rPr>
          <w:rFonts w:hint="eastAsia"/>
        </w:rPr>
        <w:t>为了适应经济发展需要，应广大企业要求，中国商业联合会于</w:t>
      </w:r>
      <w:r>
        <w:t>2020年立项，经过起草小组一年多的努力，广泛征求了各方面的建议，最后形成了统一意见，按照标准制修订规定，规范化操作发布。</w:t>
      </w:r>
    </w:p>
    <w:p w14:paraId="4B33EDCC" w14:textId="77777777" w:rsidR="00AA0D07" w:rsidRPr="0064403F" w:rsidRDefault="00AA0D07" w:rsidP="007B6EB6">
      <w:pPr>
        <w:rPr>
          <w:rFonts w:cs="宋体"/>
          <w:b/>
          <w:bCs/>
          <w:i/>
          <w:iCs/>
        </w:rPr>
      </w:pPr>
      <w:r w:rsidRPr="00272A7B">
        <w:rPr>
          <w:rFonts w:cs="宋体" w:hint="eastAsia"/>
          <w:b/>
          <w:bCs/>
          <w:i/>
          <w:iCs/>
        </w:rPr>
        <w:t>分析：。</w:t>
      </w:r>
    </w:p>
    <w:p w14:paraId="5F48BDD3" w14:textId="1C8C4D61" w:rsidR="00AA0D07" w:rsidRPr="008B692A" w:rsidRDefault="008B692A" w:rsidP="008B692A">
      <w:pPr>
        <w:outlineLvl w:val="1"/>
        <w:rPr>
          <w:b/>
        </w:rPr>
      </w:pPr>
      <w:r>
        <w:rPr>
          <w:rFonts w:hint="eastAsia"/>
          <w:b/>
        </w:rPr>
        <w:t>5</w:t>
      </w:r>
      <w:r>
        <w:rPr>
          <w:b/>
        </w:rPr>
        <w:t>.</w:t>
      </w:r>
      <w:r w:rsidR="00AA0D07" w:rsidRPr="008B692A">
        <w:rPr>
          <w:b/>
        </w:rPr>
        <w:t>全国充电桩保有量截至6月194.7</w:t>
      </w:r>
      <w:r w:rsidR="00EB0764" w:rsidRPr="008B692A">
        <w:rPr>
          <w:b/>
        </w:rPr>
        <w:t>万辆</w:t>
      </w:r>
    </w:p>
    <w:p w14:paraId="04A72744" w14:textId="6A0E6E41" w:rsidR="00AA0D07" w:rsidRDefault="00AA0D07" w:rsidP="007B6EB6">
      <w:r>
        <w:t>截至2021年6月，联盟内成员单位总计上报公共类充电桩92.3</w:t>
      </w:r>
      <w:r w:rsidR="00EB0764">
        <w:t>万辆</w:t>
      </w:r>
      <w:r>
        <w:t>，其中直流充电桩37.4万台、交流充电桩55.0万台、交直流一体充电桩426台。从2020年7月到2021年6月，月均新增公共类充电桩约3.04万台。</w:t>
      </w:r>
    </w:p>
    <w:p w14:paraId="1B9A067D" w14:textId="77777777" w:rsidR="00AA0D07" w:rsidRDefault="00AA0D07" w:rsidP="007B6EB6">
      <w:pPr>
        <w:rPr>
          <w:rFonts w:cs="宋体"/>
          <w:b/>
          <w:bCs/>
          <w:i/>
          <w:iCs/>
        </w:rPr>
      </w:pPr>
      <w:r w:rsidRPr="00272A7B">
        <w:rPr>
          <w:rFonts w:cs="宋体" w:hint="eastAsia"/>
          <w:b/>
          <w:bCs/>
          <w:i/>
          <w:iCs/>
        </w:rPr>
        <w:t>分析：。</w:t>
      </w:r>
    </w:p>
    <w:p w14:paraId="559B6558" w14:textId="34586598" w:rsidR="00AA0D07" w:rsidRPr="008B692A" w:rsidRDefault="008B692A" w:rsidP="008B692A">
      <w:pPr>
        <w:outlineLvl w:val="1"/>
        <w:rPr>
          <w:b/>
        </w:rPr>
      </w:pPr>
      <w:r>
        <w:rPr>
          <w:rFonts w:hint="eastAsia"/>
          <w:b/>
        </w:rPr>
        <w:t>6</w:t>
      </w:r>
      <w:r>
        <w:rPr>
          <w:b/>
        </w:rPr>
        <w:t>.</w:t>
      </w:r>
      <w:r w:rsidR="00AA0D07" w:rsidRPr="008B692A">
        <w:rPr>
          <w:rFonts w:hint="eastAsia"/>
          <w:b/>
        </w:rPr>
        <w:t>上半年二手车交易超</w:t>
      </w:r>
      <w:r w:rsidR="00AA0D07" w:rsidRPr="008B692A">
        <w:rPr>
          <w:b/>
        </w:rPr>
        <w:t>800万辆6月表现好于预期</w:t>
      </w:r>
    </w:p>
    <w:p w14:paraId="458BD389" w14:textId="77777777" w:rsidR="00AA0D07" w:rsidRDefault="00AA0D07" w:rsidP="007B6EB6">
      <w:r>
        <w:rPr>
          <w:rFonts w:hint="eastAsia"/>
        </w:rPr>
        <w:t>中国汽车流通协会发布数据显示，上半年，全国累计交易二手车</w:t>
      </w:r>
      <w:r>
        <w:t>843.42万辆，同比增长52.89%。流通协会表示，上半年各车型交易量较去年同期均有明显增长，其中基本型乘用车、MPV、SUV车型增速超过50%；但第二季度受去年同期“低基数”影响逐步减缓，各车型增速相比第一季度均有明显下降。</w:t>
      </w:r>
    </w:p>
    <w:p w14:paraId="203EFE32" w14:textId="77777777" w:rsidR="00AA0D07" w:rsidRDefault="00AA0D07" w:rsidP="007B6EB6">
      <w:pPr>
        <w:rPr>
          <w:rFonts w:cs="宋体"/>
          <w:b/>
          <w:bCs/>
          <w:i/>
          <w:iCs/>
        </w:rPr>
      </w:pPr>
      <w:r w:rsidRPr="00272A7B">
        <w:rPr>
          <w:rFonts w:cs="宋体" w:hint="eastAsia"/>
          <w:b/>
          <w:bCs/>
          <w:i/>
          <w:iCs/>
        </w:rPr>
        <w:t>分析：。</w:t>
      </w:r>
    </w:p>
    <w:p w14:paraId="08FE2E92" w14:textId="5DBAFCC6" w:rsidR="00AA0D07" w:rsidRPr="008B692A" w:rsidRDefault="008B692A" w:rsidP="008B692A">
      <w:pPr>
        <w:outlineLvl w:val="1"/>
        <w:rPr>
          <w:b/>
        </w:rPr>
      </w:pPr>
      <w:r>
        <w:rPr>
          <w:rFonts w:hint="eastAsia"/>
          <w:b/>
        </w:rPr>
        <w:t>7</w:t>
      </w:r>
      <w:r>
        <w:rPr>
          <w:b/>
        </w:rPr>
        <w:t>.</w:t>
      </w:r>
      <w:r w:rsidR="00AA0D07" w:rsidRPr="008B692A">
        <w:rPr>
          <w:rFonts w:hint="eastAsia"/>
          <w:b/>
        </w:rPr>
        <w:t>销量竞争白热化</w:t>
      </w:r>
      <w:r w:rsidR="00AA0D07" w:rsidRPr="008B692A">
        <w:rPr>
          <w:b/>
        </w:rPr>
        <w:t>众车企拼争新能源市场</w:t>
      </w:r>
    </w:p>
    <w:p w14:paraId="207B8F49" w14:textId="07DDA2D5" w:rsidR="00AA0D07" w:rsidRDefault="00AA0D07" w:rsidP="007B6EB6">
      <w:r>
        <w:rPr>
          <w:rFonts w:hint="eastAsia"/>
        </w:rPr>
        <w:t>几乎所有知名重卡企业都带来了多款新能源产品参展。商用车企全员出动，这种场面可不多见，足见全行业对新能源市场的重视。</w:t>
      </w:r>
    </w:p>
    <w:p w14:paraId="3F34A322" w14:textId="77777777" w:rsidR="00AA0D07" w:rsidRPr="00A323B2" w:rsidRDefault="00AA0D07" w:rsidP="007B6EB6">
      <w:pPr>
        <w:rPr>
          <w:rFonts w:cs="宋体"/>
          <w:b/>
          <w:bCs/>
          <w:i/>
          <w:iCs/>
        </w:rPr>
      </w:pPr>
      <w:r w:rsidRPr="00272A7B">
        <w:rPr>
          <w:rFonts w:cs="宋体" w:hint="eastAsia"/>
          <w:b/>
          <w:bCs/>
          <w:i/>
          <w:iCs/>
        </w:rPr>
        <w:t>分析：。</w:t>
      </w:r>
    </w:p>
    <w:p w14:paraId="6D4615D5" w14:textId="618A5FFF" w:rsidR="00AC6684" w:rsidRPr="008B692A" w:rsidRDefault="008B692A" w:rsidP="008B692A">
      <w:pPr>
        <w:outlineLvl w:val="1"/>
        <w:rPr>
          <w:b/>
        </w:rPr>
      </w:pPr>
      <w:r>
        <w:rPr>
          <w:rFonts w:hint="eastAsia"/>
          <w:b/>
        </w:rPr>
        <w:t>8</w:t>
      </w:r>
      <w:r>
        <w:rPr>
          <w:b/>
        </w:rPr>
        <w:t>.</w:t>
      </w:r>
      <w:r w:rsidR="00AC6684" w:rsidRPr="008B692A">
        <w:rPr>
          <w:b/>
        </w:rPr>
        <w:t>上海发布转型方案</w:t>
      </w:r>
      <w:r w:rsidR="00AA0D07" w:rsidRPr="008B692A">
        <w:rPr>
          <w:rFonts w:hint="eastAsia"/>
          <w:b/>
        </w:rPr>
        <w:t>新建充电桩超过</w:t>
      </w:r>
      <w:r w:rsidR="00AA0D07" w:rsidRPr="008B692A">
        <w:rPr>
          <w:b/>
        </w:rPr>
        <w:t>5万个</w:t>
      </w:r>
    </w:p>
    <w:p w14:paraId="34C0791A" w14:textId="77777777" w:rsidR="00AC6684" w:rsidRDefault="00AC6684" w:rsidP="007B6EB6">
      <w:r>
        <w:rPr>
          <w:rFonts w:hint="eastAsia"/>
        </w:rPr>
        <w:t>上海市城市数字化转型工作领导小组办公室发布了《推进上海生活数字化转型</w:t>
      </w:r>
      <w:r>
        <w:t>构建高品质数字生活行动方案（2021—2023年）》，描绘了上海生活数字化转型未来三年图景。行动方案提出以“人”为根本，以“数据”为核心，以“感受度”为考量，坚持“制度+技术+场景”模式，形成“1-3-8”的总体框架和任务体系。方案提出，到2023年，上海建成至少50个生活数字化转型标杆场景，推动上海建设成为全球数字生活的新兴技术试验场、模式创新先行区、智能体验未来城；新建电动汽车充电桩超过5万个，新建智能快件箱1.2万组；建设数字</w:t>
      </w:r>
      <w:r>
        <w:rPr>
          <w:rFonts w:hint="eastAsia"/>
        </w:rPr>
        <w:t>化转型示范医院</w:t>
      </w:r>
      <w:r>
        <w:t>30家，数字校园覆盖超过90%，数字为老一键通服务实现困难老人全覆盖，数字酒店超过1000家等。</w:t>
      </w:r>
    </w:p>
    <w:p w14:paraId="56F2A380" w14:textId="1491A769" w:rsidR="00AC6684" w:rsidRDefault="00AC6684" w:rsidP="007B6EB6">
      <w:pPr>
        <w:rPr>
          <w:rFonts w:cs="宋体"/>
          <w:b/>
          <w:bCs/>
          <w:i/>
          <w:iCs/>
        </w:rPr>
      </w:pPr>
      <w:r w:rsidRPr="00272A7B">
        <w:rPr>
          <w:rFonts w:cs="宋体" w:hint="eastAsia"/>
          <w:b/>
          <w:bCs/>
          <w:i/>
          <w:iCs/>
        </w:rPr>
        <w:t>分析：。</w:t>
      </w:r>
    </w:p>
    <w:p w14:paraId="32D01E98" w14:textId="77777777" w:rsidR="008B692A" w:rsidRPr="00A76303" w:rsidRDefault="008B692A" w:rsidP="007B6EB6">
      <w:pPr>
        <w:rPr>
          <w:rFonts w:cs="宋体"/>
          <w:b/>
          <w:bCs/>
          <w:i/>
          <w:iCs/>
        </w:rPr>
      </w:pPr>
    </w:p>
    <w:p w14:paraId="7FC6D0EC" w14:textId="77777777" w:rsidR="007B6EB6" w:rsidRPr="00CC5738" w:rsidRDefault="007B6EB6" w:rsidP="007B6EB6">
      <w:pPr>
        <w:pStyle w:val="a8"/>
        <w:numPr>
          <w:ilvl w:val="0"/>
          <w:numId w:val="4"/>
        </w:numPr>
        <w:ind w:firstLineChars="0"/>
        <w:outlineLvl w:val="0"/>
        <w:rPr>
          <w:b/>
        </w:rPr>
      </w:pPr>
      <w:r w:rsidRPr="002009FE">
        <w:rPr>
          <w:rFonts w:cs="宋体" w:hint="eastAsia"/>
          <w:b/>
          <w:bCs/>
        </w:rPr>
        <w:t>跨国集团和国际市场</w:t>
      </w:r>
    </w:p>
    <w:p w14:paraId="082F765F" w14:textId="77777777" w:rsidR="00AA0D07" w:rsidRPr="00C45F6D" w:rsidRDefault="00AA0D07" w:rsidP="007B6EB6">
      <w:pPr>
        <w:pStyle w:val="a8"/>
        <w:numPr>
          <w:ilvl w:val="0"/>
          <w:numId w:val="21"/>
        </w:numPr>
        <w:ind w:firstLineChars="0"/>
        <w:outlineLvl w:val="1"/>
        <w:rPr>
          <w:b/>
        </w:rPr>
      </w:pPr>
      <w:r w:rsidRPr="00C45F6D">
        <w:rPr>
          <w:b/>
        </w:rPr>
        <w:t>LG化学将斥资87亿美元加强电池业务</w:t>
      </w:r>
    </w:p>
    <w:p w14:paraId="1FDCC6A6" w14:textId="77777777" w:rsidR="00AA0D07" w:rsidRDefault="00AA0D07" w:rsidP="007B6EB6">
      <w:r>
        <w:t>LG化学将在2025年前斥资10万亿韩圆(合87亿美元)，以加快电池材料业务和其他业务线的可持续增长，与其他韩国工业巨头一道，开始转向更环保的做法。</w:t>
      </w:r>
    </w:p>
    <w:p w14:paraId="73BD8141" w14:textId="77777777" w:rsidR="00AA0D07" w:rsidRDefault="00AA0D07" w:rsidP="007B6EB6">
      <w:r>
        <w:rPr>
          <w:rFonts w:hint="eastAsia"/>
        </w:rPr>
        <w:t>根据</w:t>
      </w:r>
      <w:r>
        <w:t>LG化学7月14日发布的一份声明，该公司将投资6万亿韩元扩大包括阴极和电池隔板在内的电池材料生产线，另外将花费3万亿韩元生产环保石化产品，其余的投资将用于该公司的生命科学业务。</w:t>
      </w:r>
    </w:p>
    <w:p w14:paraId="4814883C" w14:textId="77777777" w:rsidR="00AA0D07" w:rsidRDefault="00AA0D07" w:rsidP="007B6EB6">
      <w:r w:rsidRPr="006E0BB8">
        <w:rPr>
          <w:rFonts w:cs="宋体" w:hint="eastAsia"/>
          <w:b/>
          <w:bCs/>
          <w:i/>
          <w:iCs/>
        </w:rPr>
        <w:t>分析：。</w:t>
      </w:r>
    </w:p>
    <w:p w14:paraId="56BB35BF" w14:textId="77777777" w:rsidR="00AA0D07" w:rsidRPr="00F36EF4" w:rsidRDefault="00AA0D07" w:rsidP="007B6EB6">
      <w:pPr>
        <w:pStyle w:val="a8"/>
        <w:numPr>
          <w:ilvl w:val="0"/>
          <w:numId w:val="21"/>
        </w:numPr>
        <w:ind w:firstLineChars="0"/>
        <w:outlineLvl w:val="1"/>
        <w:rPr>
          <w:b/>
        </w:rPr>
      </w:pPr>
      <w:r w:rsidRPr="00F36EF4">
        <w:rPr>
          <w:b/>
        </w:rPr>
        <w:t>LG化学欲成为全球最大的综合电池材料厂商</w:t>
      </w:r>
    </w:p>
    <w:p w14:paraId="6709B2F5" w14:textId="77777777" w:rsidR="00AA0D07" w:rsidRDefault="00AA0D07" w:rsidP="007B6EB6">
      <w:r w:rsidRPr="0022585B">
        <w:t>7月14日，LG化学CEO辛学喆在新闻发布会上表示，LG化学的目标是成为全球最大的综合电池材料公司。</w:t>
      </w:r>
    </w:p>
    <w:p w14:paraId="7A234149" w14:textId="77777777" w:rsidR="00AA0D07" w:rsidRDefault="00AA0D07" w:rsidP="007B6EB6">
      <w:r w:rsidRPr="006E0BB8">
        <w:rPr>
          <w:rFonts w:cs="宋体" w:hint="eastAsia"/>
          <w:b/>
          <w:bCs/>
          <w:i/>
          <w:iCs/>
        </w:rPr>
        <w:t>分析：。</w:t>
      </w:r>
    </w:p>
    <w:p w14:paraId="358C7705" w14:textId="77777777" w:rsidR="00AA0D07" w:rsidRPr="00B41605" w:rsidRDefault="00AA0D07" w:rsidP="007B6EB6">
      <w:pPr>
        <w:pStyle w:val="a8"/>
        <w:numPr>
          <w:ilvl w:val="0"/>
          <w:numId w:val="21"/>
        </w:numPr>
        <w:ind w:firstLineChars="0"/>
        <w:outlineLvl w:val="1"/>
        <w:rPr>
          <w:b/>
        </w:rPr>
      </w:pPr>
      <w:r w:rsidRPr="00B41605">
        <w:rPr>
          <w:b/>
        </w:rPr>
        <w:t>RAM1500纯电动皮卡或将于2024年量产</w:t>
      </w:r>
    </w:p>
    <w:p w14:paraId="68BECB10" w14:textId="77777777" w:rsidR="00AA0D07" w:rsidRDefault="00AA0D07" w:rsidP="007B6EB6">
      <w:r>
        <w:rPr>
          <w:rFonts w:hint="eastAsia"/>
        </w:rPr>
        <w:t>早在今年初，</w:t>
      </w:r>
      <w:r>
        <w:t>PSA与FCA合并而成的Stellantis集团便透露了进军纯电动车市场的计划。RAM作为集团的重要品牌之一，也在近期公布了将要推出电动皮卡的计划。按照规划，全新RAM1500纯电动车型将于2024年正式量产上市。</w:t>
      </w:r>
    </w:p>
    <w:p w14:paraId="7A811341" w14:textId="77777777" w:rsidR="00AA0D07" w:rsidRDefault="00AA0D07" w:rsidP="007B6EB6">
      <w:r>
        <w:rPr>
          <w:rFonts w:hint="eastAsia"/>
        </w:rPr>
        <w:t>按照规划，首款</w:t>
      </w:r>
      <w:r>
        <w:t>RAM纯电动皮卡产品将于2024年推出，而其他纯电动产品将在2025年之前覆盖其大部分细分市场，并且所有这些细分市场都将不迟于2030年布局。不仅如此，Stellantis集团还计划推出插电版RAM皮卡车型。</w:t>
      </w:r>
    </w:p>
    <w:p w14:paraId="44CC9AC6" w14:textId="77777777" w:rsidR="00AA0D07" w:rsidRDefault="00AA0D07" w:rsidP="007B6EB6">
      <w:r w:rsidRPr="006E0BB8">
        <w:rPr>
          <w:rFonts w:cs="宋体" w:hint="eastAsia"/>
          <w:b/>
          <w:bCs/>
          <w:i/>
          <w:iCs/>
        </w:rPr>
        <w:t>分析：。</w:t>
      </w:r>
    </w:p>
    <w:p w14:paraId="785A8900" w14:textId="77777777" w:rsidR="00AA0D07" w:rsidRPr="00B13338" w:rsidRDefault="00AA0D07" w:rsidP="007B6EB6">
      <w:pPr>
        <w:pStyle w:val="a8"/>
        <w:numPr>
          <w:ilvl w:val="0"/>
          <w:numId w:val="21"/>
        </w:numPr>
        <w:ind w:firstLineChars="0"/>
        <w:outlineLvl w:val="1"/>
        <w:rPr>
          <w:b/>
        </w:rPr>
      </w:pPr>
      <w:r w:rsidRPr="00B13338">
        <w:rPr>
          <w:b/>
        </w:rPr>
        <w:t>Stellantis发布电气化战略</w:t>
      </w:r>
      <w:r w:rsidRPr="00B13338">
        <w:rPr>
          <w:rFonts w:hint="eastAsia"/>
          <w:b/>
        </w:rPr>
        <w:t>引入新电池技术</w:t>
      </w:r>
    </w:p>
    <w:p w14:paraId="4446B47E" w14:textId="77777777" w:rsidR="00AA0D07" w:rsidRDefault="00AA0D07" w:rsidP="007B6EB6">
      <w:r>
        <w:rPr>
          <w:rFonts w:hint="eastAsia"/>
        </w:rPr>
        <w:t>从官方获悉，</w:t>
      </w:r>
      <w:r>
        <w:t>StellantisN.V.发布了全方位的电气化战略，集团将充分结合专业实力及合作伙伴、合资企业的力量，以合理的价格提供先进的技术。该战略将使集团的调整后经营利润率有望在中期内达到可持续的两位数水平。另外，集团还将计划于2026年引入固态电池技术。</w:t>
      </w:r>
    </w:p>
    <w:p w14:paraId="67872A66" w14:textId="77777777" w:rsidR="00AA0D07" w:rsidRDefault="00AA0D07" w:rsidP="007B6EB6">
      <w:r>
        <w:t>Stellantis集团计划在未来数年实现盈利能力的稳步增长，其主要通过Stellantis集团成立所带来的协同效应（预计将稳定实现超过50亿欧元的年度现金协同效应）、电池降本计划、网络以及生产成本的持续优化，以及开创新的收入来源，尤其是在互联服务和未来软件商业模式领域。</w:t>
      </w:r>
    </w:p>
    <w:p w14:paraId="47728915" w14:textId="77777777" w:rsidR="00AA0D07" w:rsidRDefault="00AA0D07" w:rsidP="007B6EB6">
      <w:r w:rsidRPr="006E0BB8">
        <w:rPr>
          <w:rFonts w:cs="宋体" w:hint="eastAsia"/>
          <w:b/>
          <w:bCs/>
          <w:i/>
          <w:iCs/>
        </w:rPr>
        <w:t>分析：。</w:t>
      </w:r>
    </w:p>
    <w:p w14:paraId="4188610D" w14:textId="77777777" w:rsidR="00AA0D07" w:rsidRPr="0069461D" w:rsidRDefault="00AA0D07" w:rsidP="007B6EB6">
      <w:pPr>
        <w:pStyle w:val="a8"/>
        <w:numPr>
          <w:ilvl w:val="0"/>
          <w:numId w:val="21"/>
        </w:numPr>
        <w:ind w:firstLineChars="0"/>
        <w:outlineLvl w:val="1"/>
        <w:rPr>
          <w:b/>
        </w:rPr>
      </w:pPr>
      <w:r w:rsidRPr="0069461D">
        <w:rPr>
          <w:rFonts w:hint="eastAsia"/>
          <w:b/>
        </w:rPr>
        <w:t>大众发布</w:t>
      </w:r>
      <w:r w:rsidRPr="0069461D">
        <w:rPr>
          <w:b/>
        </w:rPr>
        <w:t>2030战略“NEWAUTO”</w:t>
      </w:r>
    </w:p>
    <w:p w14:paraId="103D45F7" w14:textId="77777777" w:rsidR="00BE5DF9" w:rsidRDefault="00AA0D07" w:rsidP="007B6EB6">
      <w:r>
        <w:t>7月13日，大众汽车集团发布2030战略“NEWAUTO”，加速转型成为软件驱动型移动出行服务提供者。到2030年，将每辆汽车在整个生命周期内的碳足迹与2018年相比减少30%。同时，纯电动车型的份额预计将上升到50%。到2040年，集团在全球主要市场的所有新售车辆将接近零排放。最迟到2050年，集团将实现碳中和。</w:t>
      </w:r>
    </w:p>
    <w:p w14:paraId="280000CC" w14:textId="13DC9498" w:rsidR="00AA0D07" w:rsidRDefault="00BE5DF9" w:rsidP="007B6EB6">
      <w:r>
        <w:rPr>
          <w:rFonts w:hint="eastAsia"/>
        </w:rPr>
        <w:t>大众汽车集团计划开发的</w:t>
      </w:r>
      <w:r>
        <w:t>SSP平台架构，涵盖了旗下所有品牌的所有车型，也就是目前基于MQB、MLB、MSB、MEB，甚至将在未来两年内发布的PPE平台上打造的所有车型都包含其中。</w:t>
      </w:r>
    </w:p>
    <w:p w14:paraId="232B5A1E" w14:textId="77777777" w:rsidR="00AA0D07" w:rsidRDefault="00AA0D07" w:rsidP="007B6EB6">
      <w:r w:rsidRPr="006E0BB8">
        <w:rPr>
          <w:rFonts w:cs="宋体" w:hint="eastAsia"/>
          <w:b/>
          <w:bCs/>
          <w:i/>
          <w:iCs/>
        </w:rPr>
        <w:t>分析：。</w:t>
      </w:r>
    </w:p>
    <w:p w14:paraId="12ED253D" w14:textId="77777777" w:rsidR="00AA0D07" w:rsidRPr="000A6F10" w:rsidRDefault="00AA0D07" w:rsidP="007B6EB6">
      <w:pPr>
        <w:pStyle w:val="a8"/>
        <w:numPr>
          <w:ilvl w:val="0"/>
          <w:numId w:val="21"/>
        </w:numPr>
        <w:ind w:firstLineChars="0"/>
        <w:outlineLvl w:val="1"/>
        <w:rPr>
          <w:b/>
        </w:rPr>
      </w:pPr>
      <w:r w:rsidRPr="000A6F10">
        <w:rPr>
          <w:rFonts w:hint="eastAsia"/>
          <w:b/>
        </w:rPr>
        <w:t>大众汽车集团</w:t>
      </w:r>
      <w:r w:rsidRPr="000A6F10">
        <w:rPr>
          <w:b/>
        </w:rPr>
        <w:t>CEO迪斯成功续约至2025年</w:t>
      </w:r>
    </w:p>
    <w:p w14:paraId="2EBA5E37" w14:textId="77777777" w:rsidR="00AA0D07" w:rsidRDefault="00AA0D07" w:rsidP="007B6EB6">
      <w:r>
        <w:rPr>
          <w:rFonts w:hint="eastAsia"/>
        </w:rPr>
        <w:t>大众汽车在一份声明中表示，大众汽车集团</w:t>
      </w:r>
      <w:r>
        <w:t>CEO迪斯将留任至2025年10月，这意味着迪斯终于续约成功，继续落实他为大众汽车集团制定的一系列发展规划，助力大众的电动化、数字化转型。</w:t>
      </w:r>
    </w:p>
    <w:p w14:paraId="3EBD41A4" w14:textId="77777777" w:rsidR="00AA0D07" w:rsidRDefault="00AA0D07" w:rsidP="007B6EB6">
      <w:r w:rsidRPr="006E0BB8">
        <w:rPr>
          <w:rFonts w:cs="宋体" w:hint="eastAsia"/>
          <w:b/>
          <w:bCs/>
          <w:i/>
          <w:iCs/>
        </w:rPr>
        <w:t>分析：。</w:t>
      </w:r>
    </w:p>
    <w:p w14:paraId="7D8C0C5D" w14:textId="77777777" w:rsidR="00AA0D07" w:rsidRPr="00C45F6D" w:rsidRDefault="00AA0D07" w:rsidP="007B6EB6">
      <w:pPr>
        <w:pStyle w:val="a8"/>
        <w:numPr>
          <w:ilvl w:val="0"/>
          <w:numId w:val="21"/>
        </w:numPr>
        <w:ind w:firstLineChars="0"/>
        <w:outlineLvl w:val="1"/>
        <w:rPr>
          <w:b/>
        </w:rPr>
      </w:pPr>
      <w:r w:rsidRPr="00C45F6D">
        <w:rPr>
          <w:b/>
        </w:rPr>
        <w:t>大众汽车集团</w:t>
      </w:r>
      <w:r w:rsidRPr="00C45F6D">
        <w:rPr>
          <w:rFonts w:hint="eastAsia"/>
          <w:b/>
        </w:rPr>
        <w:t>加速转型</w:t>
      </w:r>
      <w:r w:rsidRPr="00C45F6D">
        <w:rPr>
          <w:b/>
        </w:rPr>
        <w:t>发布2030战略</w:t>
      </w:r>
    </w:p>
    <w:p w14:paraId="00C3392F" w14:textId="77777777" w:rsidR="00AA0D07" w:rsidRDefault="00AA0D07" w:rsidP="007B6EB6">
      <w:r>
        <w:rPr>
          <w:rFonts w:hint="eastAsia"/>
        </w:rPr>
        <w:t>大众汽车集团正式发布</w:t>
      </w:r>
      <w:r>
        <w:t>2030NEWAUTO战略，加速转型成为软件驱动型移动出行服务提供者。大众汽车集团已经为2021-2025年期间专项拨款730亿欧元用于投资未来技术，占总投资的50%。</w:t>
      </w:r>
    </w:p>
    <w:p w14:paraId="5C757B0B" w14:textId="77777777" w:rsidR="00AA0D07" w:rsidRDefault="00AA0D07" w:rsidP="007B6EB6">
      <w:r>
        <w:rPr>
          <w:rFonts w:hint="eastAsia"/>
        </w:rPr>
        <w:t>大众汽车集团正在拟定新的战略部署，可持续发展和实现碳中和将作为集团新战略的重要组成部分。到</w:t>
      </w:r>
      <w:r>
        <w:t>2030年，集团将按照《巴黎协定》的承诺，将每辆汽车在整个生命周期内的碳足迹与2018年相比减少30%。同时，纯电动车型的份额预计将上升到50%。到2040年，集团在全球主要市场的所有新售车辆将接近零排放。最迟到2050年，集团将实现碳中和。</w:t>
      </w:r>
    </w:p>
    <w:p w14:paraId="21FE2CF7" w14:textId="68BFB6CF" w:rsidR="00AA0D07" w:rsidRDefault="00AA0D07" w:rsidP="007B6EB6">
      <w:pPr>
        <w:rPr>
          <w:rFonts w:cs="宋体"/>
          <w:b/>
          <w:bCs/>
          <w:i/>
          <w:iCs/>
        </w:rPr>
      </w:pPr>
      <w:r w:rsidRPr="006E0BB8">
        <w:rPr>
          <w:rFonts w:cs="宋体" w:hint="eastAsia"/>
          <w:b/>
          <w:bCs/>
          <w:i/>
          <w:iCs/>
        </w:rPr>
        <w:t>分析：。</w:t>
      </w:r>
    </w:p>
    <w:p w14:paraId="1215969D" w14:textId="1C6FCECF" w:rsidR="00BE5DF9" w:rsidRPr="00C45F6D" w:rsidRDefault="00BE5DF9" w:rsidP="00BE5DF9">
      <w:pPr>
        <w:pStyle w:val="a8"/>
        <w:numPr>
          <w:ilvl w:val="0"/>
          <w:numId w:val="21"/>
        </w:numPr>
        <w:ind w:firstLineChars="0"/>
        <w:outlineLvl w:val="1"/>
        <w:rPr>
          <w:b/>
        </w:rPr>
      </w:pPr>
      <w:r w:rsidRPr="00BE5DF9">
        <w:rPr>
          <w:rFonts w:hint="eastAsia"/>
          <w:b/>
        </w:rPr>
        <w:t>欧盟计划</w:t>
      </w:r>
      <w:r w:rsidRPr="00BE5DF9">
        <w:rPr>
          <w:b/>
        </w:rPr>
        <w:t>从2035年起减排100%</w:t>
      </w:r>
    </w:p>
    <w:p w14:paraId="2F0FC81D" w14:textId="77777777" w:rsidR="00AA0D07" w:rsidRDefault="00AA0D07" w:rsidP="007B6EB6">
      <w:r>
        <w:rPr>
          <w:rFonts w:hint="eastAsia"/>
        </w:rPr>
        <w:t>欧盟将提议向零排放汽车转型，上调可再生能源目标，以利用空前的努力使经济和更多野心勃勃的环境目标相匹配。</w:t>
      </w:r>
    </w:p>
    <w:p w14:paraId="0B7CC5D9" w14:textId="77777777" w:rsidR="00AA0D07" w:rsidRDefault="00AA0D07" w:rsidP="007B6EB6">
      <w:r>
        <w:rPr>
          <w:rFonts w:hint="eastAsia"/>
        </w:rPr>
        <w:t>一份欧盟文件显示，欧盟委员会计划要求新汽车和货车从</w:t>
      </w:r>
      <w:r>
        <w:t>2030年起较今年减排65%，从2035年起减排100%。除此之外，各国政府还将制定相关规定，加强汽车充电基础设施的建设。</w:t>
      </w:r>
    </w:p>
    <w:p w14:paraId="4CBEC9FB" w14:textId="77777777" w:rsidR="00AA0D07" w:rsidRDefault="00AA0D07" w:rsidP="007B6EB6">
      <w:r>
        <w:rPr>
          <w:rFonts w:hint="eastAsia"/>
        </w:rPr>
        <w:t>为帮助大规模普及电动车，一项可替代燃料法规将规定，成员国需保证主要公路中每</w:t>
      </w:r>
      <w:r>
        <w:t>60公里就有一个电动车充电站，加氢站之间的距离则最远为150公里。</w:t>
      </w:r>
    </w:p>
    <w:p w14:paraId="4E578C35" w14:textId="77777777" w:rsidR="00AA0D07" w:rsidRPr="00957E59" w:rsidRDefault="00AA0D07" w:rsidP="007B6EB6">
      <w:pPr>
        <w:rPr>
          <w:rFonts w:cs="宋体"/>
          <w:b/>
          <w:bCs/>
          <w:i/>
          <w:iCs/>
        </w:rPr>
      </w:pPr>
      <w:r w:rsidRPr="006E0BB8">
        <w:rPr>
          <w:rFonts w:cs="宋体" w:hint="eastAsia"/>
          <w:b/>
          <w:bCs/>
          <w:i/>
          <w:iCs/>
        </w:rPr>
        <w:t>分析：。</w:t>
      </w:r>
    </w:p>
    <w:p w14:paraId="0BCAA25B" w14:textId="77777777" w:rsidR="00AA0D07" w:rsidRPr="00B13338" w:rsidRDefault="00AA0D07" w:rsidP="007B6EB6">
      <w:pPr>
        <w:pStyle w:val="a8"/>
        <w:numPr>
          <w:ilvl w:val="0"/>
          <w:numId w:val="21"/>
        </w:numPr>
        <w:ind w:firstLineChars="0"/>
        <w:outlineLvl w:val="1"/>
        <w:rPr>
          <w:b/>
        </w:rPr>
      </w:pPr>
      <w:r w:rsidRPr="00B13338">
        <w:rPr>
          <w:rFonts w:hint="eastAsia"/>
          <w:b/>
        </w:rPr>
        <w:t>戴姆勒计划在</w:t>
      </w:r>
      <w:r w:rsidRPr="00B13338">
        <w:rPr>
          <w:b/>
        </w:rPr>
        <w:t>2030年前大幅削减内燃机车型</w:t>
      </w:r>
    </w:p>
    <w:p w14:paraId="77C33494" w14:textId="77777777" w:rsidR="00AA0D07" w:rsidRDefault="00AA0D07" w:rsidP="007B6EB6">
      <w:r>
        <w:rPr>
          <w:rFonts w:hint="eastAsia"/>
        </w:rPr>
        <w:t>戴姆勒正加速其向电动移动出行的过渡，计划在</w:t>
      </w:r>
      <w:r>
        <w:t>2030年前大幅削减内燃机车型。</w:t>
      </w:r>
    </w:p>
    <w:p w14:paraId="16C50276" w14:textId="77777777" w:rsidR="00AA0D07" w:rsidRDefault="00AA0D07" w:rsidP="007B6EB6">
      <w:r>
        <w:rPr>
          <w:rFonts w:hint="eastAsia"/>
        </w:rPr>
        <w:t>一位熟知内情的戴姆勒高管透露：“我们正从优先生产电动车转向仅生产电动车。”这意味着戴姆勒每款车型都将拥有纯电动版本，同时该公司的生产、销售和架构将转为无柴油车和汽油车的业务模式。据德国《汽车》周刊报道，戴姆勒可能会在</w:t>
      </w:r>
      <w:r>
        <w:t>2030年之后也淘汰插电式混动车。</w:t>
      </w:r>
    </w:p>
    <w:p w14:paraId="1EFC238A" w14:textId="77777777" w:rsidR="00AA0D07" w:rsidRPr="00B13338" w:rsidRDefault="00AA0D07" w:rsidP="007B6EB6">
      <w:pPr>
        <w:rPr>
          <w:rFonts w:cs="宋体"/>
          <w:b/>
          <w:bCs/>
          <w:i/>
          <w:iCs/>
        </w:rPr>
      </w:pPr>
      <w:r w:rsidRPr="006E0BB8">
        <w:rPr>
          <w:rFonts w:cs="宋体" w:hint="eastAsia"/>
          <w:b/>
          <w:bCs/>
          <w:i/>
          <w:iCs/>
        </w:rPr>
        <w:t>分析：。</w:t>
      </w:r>
    </w:p>
    <w:p w14:paraId="4EDF9DF8" w14:textId="77777777" w:rsidR="00AA0D07" w:rsidRPr="00113F65" w:rsidRDefault="00AA0D07" w:rsidP="007B6EB6">
      <w:pPr>
        <w:pStyle w:val="a8"/>
        <w:numPr>
          <w:ilvl w:val="0"/>
          <w:numId w:val="21"/>
        </w:numPr>
        <w:ind w:firstLineChars="0"/>
        <w:outlineLvl w:val="1"/>
        <w:rPr>
          <w:b/>
        </w:rPr>
      </w:pPr>
      <w:r w:rsidRPr="00113F65">
        <w:rPr>
          <w:rFonts w:hint="eastAsia"/>
          <w:b/>
        </w:rPr>
        <w:t>福特汽车或彻底终止印度业务</w:t>
      </w:r>
    </w:p>
    <w:p w14:paraId="73BC007E" w14:textId="77777777" w:rsidR="00AA0D07" w:rsidRDefault="00AA0D07" w:rsidP="007B6EB6">
      <w:r>
        <w:t>福特可能终止其印度两家工厂的运营，两家工厂将被出售或转为代工工厂。</w:t>
      </w:r>
    </w:p>
    <w:p w14:paraId="0E6BD3F8" w14:textId="77777777" w:rsidR="00AA0D07" w:rsidRDefault="00AA0D07" w:rsidP="007B6EB6">
      <w:r>
        <w:rPr>
          <w:rFonts w:hint="eastAsia"/>
        </w:rPr>
        <w:t>据悉，福特正在与多家汽车公司谈判，其中印度本土出行公司</w:t>
      </w:r>
      <w:r>
        <w:t>Ola或是其中一家，该公司可能利用福特印度工厂来生产电动车。</w:t>
      </w:r>
    </w:p>
    <w:p w14:paraId="59AF7DAD" w14:textId="77777777" w:rsidR="00AA0D07" w:rsidRDefault="00AA0D07" w:rsidP="007B6EB6">
      <w:r w:rsidRPr="006E0BB8">
        <w:rPr>
          <w:rFonts w:cs="宋体" w:hint="eastAsia"/>
          <w:b/>
          <w:bCs/>
          <w:i/>
          <w:iCs/>
        </w:rPr>
        <w:t>分析：。</w:t>
      </w:r>
    </w:p>
    <w:p w14:paraId="3C75329C" w14:textId="77777777" w:rsidR="00AA0D07" w:rsidRPr="00C45F6D" w:rsidRDefault="00AA0D07" w:rsidP="007B6EB6">
      <w:pPr>
        <w:pStyle w:val="a8"/>
        <w:numPr>
          <w:ilvl w:val="0"/>
          <w:numId w:val="21"/>
        </w:numPr>
        <w:ind w:firstLineChars="0"/>
        <w:outlineLvl w:val="1"/>
        <w:rPr>
          <w:b/>
        </w:rPr>
      </w:pPr>
      <w:r w:rsidRPr="00C45F6D">
        <w:rPr>
          <w:rFonts w:hint="eastAsia"/>
          <w:b/>
        </w:rPr>
        <w:t>欧盟委员会主席称将制定禁燃日期</w:t>
      </w:r>
    </w:p>
    <w:p w14:paraId="77235F90" w14:textId="77777777" w:rsidR="00AA0D07" w:rsidRDefault="00AA0D07" w:rsidP="007B6EB6">
      <w:r>
        <w:rPr>
          <w:rFonts w:hint="eastAsia"/>
        </w:rPr>
        <w:t>欧盟委员会负责人在</w:t>
      </w:r>
      <w:r>
        <w:t>7月14日表示，欧盟计划制定一个明确的时期，在此日期之后，所有汽车制造商将不得不停止生产以内燃机为动力的汽车。</w:t>
      </w:r>
    </w:p>
    <w:p w14:paraId="23160FCD" w14:textId="6BDC4F3F" w:rsidR="00AA0D07" w:rsidRDefault="00AA0D07" w:rsidP="007B6EB6">
      <w:r>
        <w:rPr>
          <w:rFonts w:hint="eastAsia"/>
        </w:rPr>
        <w:t>欧盟委员会主席表示，虽然已经有十几家欧洲汽车制造商宣布将在</w:t>
      </w:r>
      <w:r>
        <w:t>2028年至2035年期间转向零排放汽车，但是欧盟依然需要制定一个法定的截止日期。</w:t>
      </w:r>
    </w:p>
    <w:p w14:paraId="2068E1F3" w14:textId="77777777" w:rsidR="00AA0D07" w:rsidRDefault="00AA0D07" w:rsidP="007B6EB6">
      <w:r w:rsidRPr="006E0BB8">
        <w:rPr>
          <w:rFonts w:cs="宋体" w:hint="eastAsia"/>
          <w:b/>
          <w:bCs/>
          <w:i/>
          <w:iCs/>
        </w:rPr>
        <w:t>分析：。</w:t>
      </w:r>
    </w:p>
    <w:p w14:paraId="72B0DCC6" w14:textId="77777777" w:rsidR="00AA0D07" w:rsidRPr="00F36EF4" w:rsidRDefault="00AA0D07" w:rsidP="007B6EB6">
      <w:pPr>
        <w:pStyle w:val="a8"/>
        <w:numPr>
          <w:ilvl w:val="0"/>
          <w:numId w:val="21"/>
        </w:numPr>
        <w:ind w:firstLineChars="0"/>
        <w:outlineLvl w:val="1"/>
        <w:rPr>
          <w:b/>
        </w:rPr>
      </w:pPr>
      <w:r w:rsidRPr="00F36EF4">
        <w:rPr>
          <w:rFonts w:hint="eastAsia"/>
          <w:b/>
        </w:rPr>
        <w:t>三星</w:t>
      </w:r>
      <w:r w:rsidRPr="00F36EF4">
        <w:rPr>
          <w:b/>
        </w:rPr>
        <w:t>SDI、LG新能源完成4680电芯研发</w:t>
      </w:r>
    </w:p>
    <w:p w14:paraId="06128C4C" w14:textId="77777777" w:rsidR="00AA0D07" w:rsidRDefault="00AA0D07" w:rsidP="007B6EB6">
      <w:r w:rsidRPr="0022585B">
        <w:t>据国外媒体介绍，三星SDI和LG新能源已经完成4680电芯样品的开发。</w:t>
      </w:r>
    </w:p>
    <w:p w14:paraId="109CF689" w14:textId="77777777" w:rsidR="00AA0D07" w:rsidRDefault="00AA0D07" w:rsidP="007B6EB6">
      <w:r w:rsidRPr="006E0BB8">
        <w:rPr>
          <w:rFonts w:cs="宋体" w:hint="eastAsia"/>
          <w:b/>
          <w:bCs/>
          <w:i/>
          <w:iCs/>
        </w:rPr>
        <w:t>分析：。</w:t>
      </w:r>
    </w:p>
    <w:p w14:paraId="70AA9EB6" w14:textId="77777777" w:rsidR="00AA0D07" w:rsidRPr="00FB64FD" w:rsidRDefault="00AA0D07" w:rsidP="007B6EB6">
      <w:pPr>
        <w:pStyle w:val="a8"/>
        <w:numPr>
          <w:ilvl w:val="0"/>
          <w:numId w:val="21"/>
        </w:numPr>
        <w:ind w:firstLineChars="0"/>
        <w:outlineLvl w:val="1"/>
        <w:rPr>
          <w:b/>
        </w:rPr>
      </w:pPr>
      <w:r w:rsidRPr="00FB64FD">
        <w:rPr>
          <w:rFonts w:hint="eastAsia"/>
          <w:b/>
        </w:rPr>
        <w:t>三星电子为大众汽车供应汽车芯片</w:t>
      </w:r>
    </w:p>
    <w:p w14:paraId="5C97AE1E" w14:textId="77777777" w:rsidR="00AA0D07" w:rsidRDefault="00AA0D07" w:rsidP="007B6EB6">
      <w:r>
        <w:rPr>
          <w:rFonts w:hint="eastAsia"/>
        </w:rPr>
        <w:t>韩国三星电子公司正在迅速扩大在汽车芯片市场的份额，继奥迪之后，大众汽车也加入了该公司的客户名单。</w:t>
      </w:r>
    </w:p>
    <w:p w14:paraId="41FF946F" w14:textId="77777777" w:rsidR="00AA0D07" w:rsidRDefault="00AA0D07" w:rsidP="007B6EB6">
      <w:r>
        <w:t>7月14日，据多位制造业消息人士透露，自今年年初以来，三星电子的SamsungSystemLSI业务部门一直在为大众汽车提供最新的系统芯片ExynosAuto，用于车载信息和娱乐系统。</w:t>
      </w:r>
    </w:p>
    <w:p w14:paraId="04EE3082" w14:textId="77777777" w:rsidR="00AA0D07" w:rsidRDefault="00AA0D07" w:rsidP="007B6EB6">
      <w:r>
        <w:t>ExynosAuto是三星电子独立的系统芯片组件，也是其发布的首款汽车信息娱乐应用。它提供给德国奥迪的产品系列帮助汽车控制车辆状态、导航和多媒体。当前，所有的奥迪最新车型都应用了Exynos汽车芯片。</w:t>
      </w:r>
    </w:p>
    <w:p w14:paraId="40C797F6" w14:textId="77777777" w:rsidR="00AA0D07" w:rsidRDefault="00AA0D07" w:rsidP="007B6EB6">
      <w:r w:rsidRPr="006E0BB8">
        <w:rPr>
          <w:rFonts w:cs="宋体" w:hint="eastAsia"/>
          <w:b/>
          <w:bCs/>
          <w:i/>
          <w:iCs/>
        </w:rPr>
        <w:t>分析：。</w:t>
      </w:r>
    </w:p>
    <w:p w14:paraId="441D7CB4" w14:textId="77777777" w:rsidR="00AA0D07" w:rsidRPr="00D12612" w:rsidRDefault="00AA0D07" w:rsidP="007B6EB6">
      <w:pPr>
        <w:pStyle w:val="a8"/>
        <w:numPr>
          <w:ilvl w:val="0"/>
          <w:numId w:val="21"/>
        </w:numPr>
        <w:ind w:firstLineChars="0"/>
        <w:outlineLvl w:val="1"/>
        <w:rPr>
          <w:b/>
        </w:rPr>
      </w:pPr>
      <w:r w:rsidRPr="00D12612">
        <w:rPr>
          <w:rFonts w:hint="eastAsia"/>
          <w:b/>
        </w:rPr>
        <w:t>特斯拉柏林工厂将在第四季度获得最终批准</w:t>
      </w:r>
    </w:p>
    <w:p w14:paraId="3A45D20B" w14:textId="77777777" w:rsidR="00AA0D07" w:rsidRDefault="00AA0D07" w:rsidP="007B6EB6">
      <w:r w:rsidRPr="004A6B7A">
        <w:rPr>
          <w:rFonts w:hint="eastAsia"/>
        </w:rPr>
        <w:t>勃兰登堡州经济部长</w:t>
      </w:r>
      <w:r w:rsidRPr="004A6B7A">
        <w:t>JrgSteinbach在最近对德国媒体的一份声明中表示，他预计将在2021年第四季度发布对特斯拉柏林超级工厂的最终批准。如果获得批准，柏林工厂的ModelY投产日期将比预期晚几个月左右。特斯拉最初预计柏林工厂将于2021年7月投产，但因项目延期，此前CEO马斯克预计该工厂将于年内开始生产电动汽车。</w:t>
      </w:r>
    </w:p>
    <w:p w14:paraId="2397C2DE" w14:textId="77777777" w:rsidR="00AA0D07" w:rsidRDefault="00AA0D07" w:rsidP="007B6EB6">
      <w:r w:rsidRPr="006E0BB8">
        <w:rPr>
          <w:rFonts w:cs="宋体" w:hint="eastAsia"/>
          <w:b/>
          <w:bCs/>
          <w:i/>
          <w:iCs/>
        </w:rPr>
        <w:t>分析：。</w:t>
      </w:r>
    </w:p>
    <w:p w14:paraId="101B9472" w14:textId="77777777" w:rsidR="00AA0D07" w:rsidRPr="00C45F6D" w:rsidRDefault="00AA0D07" w:rsidP="007B6EB6">
      <w:pPr>
        <w:pStyle w:val="a8"/>
        <w:numPr>
          <w:ilvl w:val="0"/>
          <w:numId w:val="21"/>
        </w:numPr>
        <w:ind w:firstLineChars="0"/>
        <w:outlineLvl w:val="1"/>
        <w:rPr>
          <w:b/>
        </w:rPr>
      </w:pPr>
      <w:r w:rsidRPr="00C45F6D">
        <w:rPr>
          <w:rFonts w:hint="eastAsia"/>
          <w:b/>
        </w:rPr>
        <w:t>西班牙投</w:t>
      </w:r>
      <w:r w:rsidRPr="00C45F6D">
        <w:rPr>
          <w:b/>
        </w:rPr>
        <w:t>51亿美元支持电动车和电池生产</w:t>
      </w:r>
    </w:p>
    <w:p w14:paraId="0D1A8C12" w14:textId="77777777" w:rsidR="00AA0D07" w:rsidRDefault="00AA0D07" w:rsidP="007B6EB6">
      <w:r>
        <w:rPr>
          <w:rFonts w:hint="eastAsia"/>
        </w:rPr>
        <w:t>西班牙将投资</w:t>
      </w:r>
      <w:r>
        <w:t>43亿欧元（合51.1亿美元）支持电动汽车和电池的生产，这是由欧盟复苏基金资助的一项主要国家支出计划的一部分。</w:t>
      </w:r>
    </w:p>
    <w:p w14:paraId="4E7C39EC" w14:textId="77777777" w:rsidR="00AA0D07" w:rsidRDefault="00AA0D07" w:rsidP="007B6EB6">
      <w:r>
        <w:rPr>
          <w:rFonts w:hint="eastAsia"/>
        </w:rPr>
        <w:t>西班牙总理</w:t>
      </w:r>
      <w:r>
        <w:t>PedroSanchez7月12日在一次演讲中表示，该计划旨在刺激私人投资，将涵盖从锂材料提取到组装电池和制造电动汽车的整个生产链。Sanchez还称，该计划将包括10亿欧元用于改善电动车充电基础设施。</w:t>
      </w:r>
    </w:p>
    <w:p w14:paraId="0EC6F318" w14:textId="77777777" w:rsidR="00AA0D07" w:rsidRDefault="00AA0D07" w:rsidP="007B6EB6">
      <w:r w:rsidRPr="006E0BB8">
        <w:rPr>
          <w:rFonts w:cs="宋体" w:hint="eastAsia"/>
          <w:b/>
          <w:bCs/>
          <w:i/>
          <w:iCs/>
        </w:rPr>
        <w:t>分析：。</w:t>
      </w:r>
    </w:p>
    <w:p w14:paraId="0168A9D4" w14:textId="77777777" w:rsidR="00AA0D07" w:rsidRPr="00C45F6D" w:rsidRDefault="00AA0D07" w:rsidP="007B6EB6">
      <w:pPr>
        <w:pStyle w:val="a8"/>
        <w:numPr>
          <w:ilvl w:val="0"/>
          <w:numId w:val="21"/>
        </w:numPr>
        <w:ind w:firstLineChars="0"/>
        <w:outlineLvl w:val="1"/>
        <w:rPr>
          <w:b/>
        </w:rPr>
      </w:pPr>
      <w:r w:rsidRPr="00C45F6D">
        <w:rPr>
          <w:rFonts w:hint="eastAsia"/>
          <w:b/>
        </w:rPr>
        <w:t>英国</w:t>
      </w:r>
      <w:r w:rsidRPr="00C45F6D">
        <w:rPr>
          <w:b/>
        </w:rPr>
        <w:t>2040年起禁售新柴油和汽油重型货车</w:t>
      </w:r>
    </w:p>
    <w:p w14:paraId="2747CFC8" w14:textId="77777777" w:rsidR="00AA0D07" w:rsidRDefault="00AA0D07" w:rsidP="007B6EB6">
      <w:r>
        <w:rPr>
          <w:rFonts w:hint="eastAsia"/>
        </w:rPr>
        <w:t>作为</w:t>
      </w:r>
      <w:r>
        <w:t>2030年所有交通工具实现净零排放计划的一部分，英国将从2040年起禁售新柴油和汽油重型货车。</w:t>
      </w:r>
    </w:p>
    <w:p w14:paraId="08FAF41E" w14:textId="77777777" w:rsidR="00AA0D07" w:rsidRDefault="00AA0D07" w:rsidP="007B6EB6">
      <w:r>
        <w:rPr>
          <w:rFonts w:hint="eastAsia"/>
        </w:rPr>
        <w:t>英国政府表示，将从</w:t>
      </w:r>
      <w:r>
        <w:t>2035年禁售小型柴油卡车，从2040年禁售重量超过26公吨的大型卡车，若有可能还会提前这些日期。英国还计划到2050年打造一个净零铁路网络，到2040年航空业实现净零排放。</w:t>
      </w:r>
    </w:p>
    <w:p w14:paraId="1E73D451" w14:textId="77777777" w:rsidR="00AA0D07" w:rsidRDefault="00AA0D07" w:rsidP="007B6EB6">
      <w:r w:rsidRPr="006E0BB8">
        <w:rPr>
          <w:rFonts w:cs="宋体" w:hint="eastAsia"/>
          <w:b/>
          <w:bCs/>
          <w:i/>
          <w:iCs/>
        </w:rPr>
        <w:t>分析：。</w:t>
      </w:r>
    </w:p>
    <w:sectPr w:rsidR="00AA0D07" w:rsidSect="006E0BB8">
      <w:headerReference w:type="default" r:id="rId19"/>
      <w:pgSz w:w="11906" w:h="16838"/>
      <w:pgMar w:top="1440" w:right="1800" w:bottom="1440" w:left="1800" w:header="624"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6D6E5D" w14:textId="77777777" w:rsidR="0029713B" w:rsidRDefault="0029713B" w:rsidP="007B6EB6">
      <w:r>
        <w:separator/>
      </w:r>
    </w:p>
  </w:endnote>
  <w:endnote w:type="continuationSeparator" w:id="0">
    <w:p w14:paraId="5FFC0A95" w14:textId="77777777" w:rsidR="0029713B" w:rsidRDefault="0029713B" w:rsidP="007B6E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3D5CC7" w14:textId="77777777" w:rsidR="0029713B" w:rsidRDefault="0029713B" w:rsidP="007B6EB6">
      <w:r>
        <w:separator/>
      </w:r>
    </w:p>
  </w:footnote>
  <w:footnote w:type="continuationSeparator" w:id="0">
    <w:p w14:paraId="41FD2FFE" w14:textId="77777777" w:rsidR="0029713B" w:rsidRDefault="0029713B" w:rsidP="007B6E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3B3875" w14:textId="64A2F911" w:rsidR="006E0BB8" w:rsidRDefault="006E0BB8" w:rsidP="006E0BB8">
    <w:pPr>
      <w:pStyle w:val="a3"/>
      <w:jc w:val="left"/>
    </w:pPr>
    <w:r>
      <w:rPr>
        <w:noProof/>
      </w:rPr>
      <w:drawing>
        <wp:inline distT="0" distB="0" distL="0" distR="0" wp14:anchorId="5B39EDBF" wp14:editId="586299CB">
          <wp:extent cx="895350" cy="292100"/>
          <wp:effectExtent l="0" t="0" r="0" b="0"/>
          <wp:docPr id="1" name="图片 1" descr="乘联会组合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乘联会组合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95350" cy="2921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83438"/>
    <w:multiLevelType w:val="hybridMultilevel"/>
    <w:tmpl w:val="EF44C696"/>
    <w:lvl w:ilvl="0" w:tplc="8F9250BE">
      <w:start w:val="1"/>
      <w:numFmt w:val="japaneseCounting"/>
      <w:lvlText w:val="第%1、"/>
      <w:lvlJc w:val="left"/>
      <w:pPr>
        <w:ind w:left="720" w:hanging="7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 w15:restartNumberingAfterBreak="0">
    <w:nsid w:val="019728BF"/>
    <w:multiLevelType w:val="hybridMultilevel"/>
    <w:tmpl w:val="21BA248A"/>
    <w:lvl w:ilvl="0" w:tplc="5BE4A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2330949"/>
    <w:multiLevelType w:val="hybridMultilevel"/>
    <w:tmpl w:val="36B2A416"/>
    <w:lvl w:ilvl="0" w:tplc="1EB80460">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8EC6F74"/>
    <w:multiLevelType w:val="hybridMultilevel"/>
    <w:tmpl w:val="E49AA1AC"/>
    <w:lvl w:ilvl="0" w:tplc="0409000F">
      <w:start w:val="1"/>
      <w:numFmt w:val="decimal"/>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2042AA1"/>
    <w:multiLevelType w:val="hybridMultilevel"/>
    <w:tmpl w:val="4D72986A"/>
    <w:lvl w:ilvl="0" w:tplc="0598DA9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DCF65F1"/>
    <w:multiLevelType w:val="hybridMultilevel"/>
    <w:tmpl w:val="4D6CAFC2"/>
    <w:lvl w:ilvl="0" w:tplc="818AF3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45A45500"/>
    <w:multiLevelType w:val="hybridMultilevel"/>
    <w:tmpl w:val="535C4E0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4DAA28F9"/>
    <w:multiLevelType w:val="hybridMultilevel"/>
    <w:tmpl w:val="B686B24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3"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14" w15:restartNumberingAfterBreak="0">
    <w:nsid w:val="5CA03948"/>
    <w:multiLevelType w:val="hybridMultilevel"/>
    <w:tmpl w:val="7E52A3D2"/>
    <w:lvl w:ilvl="0" w:tplc="0409000F">
      <w:start w:val="1"/>
      <w:numFmt w:val="decimal"/>
      <w:lvlText w:val="%1."/>
      <w:lvlJc w:val="left"/>
      <w:pPr>
        <w:ind w:left="1412"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F410542"/>
    <w:multiLevelType w:val="hybridMultilevel"/>
    <w:tmpl w:val="99443B5A"/>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5FF05021"/>
    <w:multiLevelType w:val="hybridMultilevel"/>
    <w:tmpl w:val="B686B24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69FD5329"/>
    <w:multiLevelType w:val="hybridMultilevel"/>
    <w:tmpl w:val="A24A7728"/>
    <w:lvl w:ilvl="0" w:tplc="3398BCE2">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745B12F8"/>
    <w:multiLevelType w:val="hybridMultilevel"/>
    <w:tmpl w:val="EB9682A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42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77250561"/>
    <w:multiLevelType w:val="hybridMultilevel"/>
    <w:tmpl w:val="17FCA13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789D6E71"/>
    <w:multiLevelType w:val="hybridMultilevel"/>
    <w:tmpl w:val="C46E6B78"/>
    <w:lvl w:ilvl="0" w:tplc="648E230E">
      <w:start w:val="3"/>
      <w:numFmt w:val="japaneseCounting"/>
      <w:lvlText w:val="%1、"/>
      <w:lvlJc w:val="left"/>
      <w:pPr>
        <w:ind w:left="420" w:hanging="420"/>
      </w:pPr>
      <w:rPr>
        <w:rFonts w:cs="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
  </w:num>
  <w:num w:numId="2">
    <w:abstractNumId w:val="12"/>
  </w:num>
  <w:num w:numId="3">
    <w:abstractNumId w:val="13"/>
  </w:num>
  <w:num w:numId="4">
    <w:abstractNumId w:val="15"/>
  </w:num>
  <w:num w:numId="5">
    <w:abstractNumId w:val="14"/>
  </w:num>
  <w:num w:numId="6">
    <w:abstractNumId w:val="9"/>
  </w:num>
  <w:num w:numId="7">
    <w:abstractNumId w:val="6"/>
  </w:num>
  <w:num w:numId="8">
    <w:abstractNumId w:val="5"/>
  </w:num>
  <w:num w:numId="9">
    <w:abstractNumId w:val="10"/>
  </w:num>
  <w:num w:numId="10">
    <w:abstractNumId w:val="7"/>
  </w:num>
  <w:num w:numId="11">
    <w:abstractNumId w:val="1"/>
  </w:num>
  <w:num w:numId="12">
    <w:abstractNumId w:val="8"/>
  </w:num>
  <w:num w:numId="13">
    <w:abstractNumId w:val="2"/>
  </w:num>
  <w:num w:numId="14">
    <w:abstractNumId w:val="20"/>
  </w:num>
  <w:num w:numId="15">
    <w:abstractNumId w:val="19"/>
  </w:num>
  <w:num w:numId="16">
    <w:abstractNumId w:val="16"/>
  </w:num>
  <w:num w:numId="17">
    <w:abstractNumId w:val="18"/>
  </w:num>
  <w:num w:numId="1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7"/>
  </w:num>
  <w:num w:numId="20">
    <w:abstractNumId w:val="0"/>
  </w:num>
  <w:num w:numId="21">
    <w:abstractNumId w:val="3"/>
  </w:num>
  <w:num w:numId="2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6401C"/>
    <w:rsid w:val="001575C9"/>
    <w:rsid w:val="001D0350"/>
    <w:rsid w:val="002004A7"/>
    <w:rsid w:val="00216794"/>
    <w:rsid w:val="0026401C"/>
    <w:rsid w:val="0029713B"/>
    <w:rsid w:val="002F5AB9"/>
    <w:rsid w:val="0030669B"/>
    <w:rsid w:val="00396C99"/>
    <w:rsid w:val="003A2481"/>
    <w:rsid w:val="003E5785"/>
    <w:rsid w:val="00402011"/>
    <w:rsid w:val="004959B2"/>
    <w:rsid w:val="005B424B"/>
    <w:rsid w:val="005C524B"/>
    <w:rsid w:val="005F751E"/>
    <w:rsid w:val="0063415F"/>
    <w:rsid w:val="006B39DE"/>
    <w:rsid w:val="006D0549"/>
    <w:rsid w:val="006E0BB8"/>
    <w:rsid w:val="00734405"/>
    <w:rsid w:val="00781D88"/>
    <w:rsid w:val="007B6EB6"/>
    <w:rsid w:val="007D5B3E"/>
    <w:rsid w:val="008237BB"/>
    <w:rsid w:val="008B692A"/>
    <w:rsid w:val="00910CD6"/>
    <w:rsid w:val="00917B48"/>
    <w:rsid w:val="009607E0"/>
    <w:rsid w:val="00975059"/>
    <w:rsid w:val="00A57F3A"/>
    <w:rsid w:val="00A77464"/>
    <w:rsid w:val="00AA0D07"/>
    <w:rsid w:val="00AC6684"/>
    <w:rsid w:val="00B02CC2"/>
    <w:rsid w:val="00B114CC"/>
    <w:rsid w:val="00B42BDB"/>
    <w:rsid w:val="00B64B30"/>
    <w:rsid w:val="00B950C0"/>
    <w:rsid w:val="00BC65AB"/>
    <w:rsid w:val="00BE5DF9"/>
    <w:rsid w:val="00CC429B"/>
    <w:rsid w:val="00DF77CB"/>
    <w:rsid w:val="00E13225"/>
    <w:rsid w:val="00EB0764"/>
    <w:rsid w:val="00EB6671"/>
    <w:rsid w:val="00EC193C"/>
    <w:rsid w:val="00FA288C"/>
    <w:rsid w:val="00FB7106"/>
    <w:rsid w:val="00FD657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3589628"/>
  <w15:chartTrackingRefBased/>
  <w15:docId w15:val="{1F352A68-C5FE-40BB-A924-B64DE30B59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B6EB6"/>
    <w:pPr>
      <w:widowControl w:val="0"/>
      <w:jc w:val="both"/>
    </w:pPr>
    <w:rPr>
      <w:szCs w:val="24"/>
    </w:rPr>
  </w:style>
  <w:style w:type="paragraph" w:styleId="2">
    <w:name w:val="heading 2"/>
    <w:basedOn w:val="a"/>
    <w:next w:val="a"/>
    <w:link w:val="20"/>
    <w:semiHidden/>
    <w:unhideWhenUsed/>
    <w:qFormat/>
    <w:rsid w:val="007B6EB6"/>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7B6EB6"/>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7B6EB6"/>
    <w:rPr>
      <w:sz w:val="18"/>
      <w:szCs w:val="18"/>
    </w:rPr>
  </w:style>
  <w:style w:type="paragraph" w:styleId="a5">
    <w:name w:val="footer"/>
    <w:basedOn w:val="a"/>
    <w:link w:val="a6"/>
    <w:unhideWhenUsed/>
    <w:rsid w:val="007B6EB6"/>
    <w:pPr>
      <w:tabs>
        <w:tab w:val="center" w:pos="4153"/>
        <w:tab w:val="right" w:pos="8306"/>
      </w:tabs>
      <w:snapToGrid w:val="0"/>
      <w:jc w:val="left"/>
    </w:pPr>
    <w:rPr>
      <w:sz w:val="18"/>
      <w:szCs w:val="18"/>
    </w:rPr>
  </w:style>
  <w:style w:type="character" w:customStyle="1" w:styleId="a6">
    <w:name w:val="页脚 字符"/>
    <w:basedOn w:val="a0"/>
    <w:link w:val="a5"/>
    <w:rsid w:val="007B6EB6"/>
    <w:rPr>
      <w:sz w:val="18"/>
      <w:szCs w:val="18"/>
    </w:rPr>
  </w:style>
  <w:style w:type="character" w:customStyle="1" w:styleId="20">
    <w:name w:val="标题 2 字符"/>
    <w:basedOn w:val="a0"/>
    <w:link w:val="2"/>
    <w:semiHidden/>
    <w:rsid w:val="007B6EB6"/>
    <w:rPr>
      <w:rFonts w:asciiTheme="majorHAnsi" w:eastAsiaTheme="majorEastAsia" w:hAnsiTheme="majorHAnsi" w:cstheme="majorBidi"/>
      <w:b/>
      <w:bCs/>
      <w:sz w:val="32"/>
      <w:szCs w:val="32"/>
    </w:rPr>
  </w:style>
  <w:style w:type="character" w:styleId="a7">
    <w:name w:val="Strong"/>
    <w:basedOn w:val="a0"/>
    <w:qFormat/>
    <w:rsid w:val="007B6EB6"/>
    <w:rPr>
      <w:b/>
    </w:rPr>
  </w:style>
  <w:style w:type="paragraph" w:customStyle="1" w:styleId="1">
    <w:name w:val="列出段落1"/>
    <w:basedOn w:val="a"/>
    <w:uiPriority w:val="99"/>
    <w:qFormat/>
    <w:rsid w:val="007B6EB6"/>
    <w:pPr>
      <w:ind w:firstLineChars="200" w:firstLine="420"/>
    </w:pPr>
  </w:style>
  <w:style w:type="paragraph" w:styleId="a8">
    <w:name w:val="List Paragraph"/>
    <w:basedOn w:val="a"/>
    <w:uiPriority w:val="34"/>
    <w:qFormat/>
    <w:rsid w:val="007B6EB6"/>
    <w:pPr>
      <w:ind w:firstLineChars="200" w:firstLine="420"/>
    </w:pPr>
  </w:style>
  <w:style w:type="paragraph" w:styleId="a9">
    <w:name w:val="Balloon Text"/>
    <w:basedOn w:val="a"/>
    <w:link w:val="aa"/>
    <w:rsid w:val="007B6EB6"/>
    <w:rPr>
      <w:sz w:val="18"/>
      <w:szCs w:val="18"/>
    </w:rPr>
  </w:style>
  <w:style w:type="character" w:customStyle="1" w:styleId="aa">
    <w:name w:val="批注框文本 字符"/>
    <w:basedOn w:val="a0"/>
    <w:link w:val="a9"/>
    <w:rsid w:val="007B6EB6"/>
    <w:rPr>
      <w:sz w:val="18"/>
      <w:szCs w:val="18"/>
    </w:rPr>
  </w:style>
  <w:style w:type="character" w:customStyle="1" w:styleId="apple-converted-space">
    <w:name w:val="apple-converted-space"/>
    <w:basedOn w:val="a0"/>
    <w:rsid w:val="007B6EB6"/>
  </w:style>
  <w:style w:type="character" w:styleId="ab">
    <w:name w:val="annotation reference"/>
    <w:basedOn w:val="a0"/>
    <w:uiPriority w:val="99"/>
    <w:semiHidden/>
    <w:unhideWhenUsed/>
    <w:rsid w:val="007B6EB6"/>
    <w:rPr>
      <w:sz w:val="21"/>
      <w:szCs w:val="21"/>
    </w:rPr>
  </w:style>
  <w:style w:type="paragraph" w:styleId="ac">
    <w:name w:val="annotation text"/>
    <w:basedOn w:val="a"/>
    <w:link w:val="ad"/>
    <w:uiPriority w:val="99"/>
    <w:semiHidden/>
    <w:unhideWhenUsed/>
    <w:rsid w:val="007B6EB6"/>
    <w:pPr>
      <w:jc w:val="left"/>
    </w:pPr>
  </w:style>
  <w:style w:type="character" w:customStyle="1" w:styleId="ad">
    <w:name w:val="批注文字 字符"/>
    <w:basedOn w:val="a0"/>
    <w:link w:val="ac"/>
    <w:uiPriority w:val="99"/>
    <w:semiHidden/>
    <w:rsid w:val="007B6EB6"/>
    <w:rPr>
      <w:szCs w:val="24"/>
    </w:rPr>
  </w:style>
  <w:style w:type="paragraph" w:styleId="ae">
    <w:name w:val="annotation subject"/>
    <w:basedOn w:val="ac"/>
    <w:next w:val="ac"/>
    <w:link w:val="af"/>
    <w:uiPriority w:val="99"/>
    <w:semiHidden/>
    <w:unhideWhenUsed/>
    <w:rsid w:val="007B6EB6"/>
    <w:rPr>
      <w:b/>
      <w:bCs/>
    </w:rPr>
  </w:style>
  <w:style w:type="character" w:customStyle="1" w:styleId="af">
    <w:name w:val="批注主题 字符"/>
    <w:basedOn w:val="ad"/>
    <w:link w:val="ae"/>
    <w:uiPriority w:val="99"/>
    <w:semiHidden/>
    <w:rsid w:val="007B6EB6"/>
    <w:rPr>
      <w:b/>
      <w:bCs/>
      <w:szCs w:val="24"/>
    </w:rPr>
  </w:style>
  <w:style w:type="character" w:styleId="af0">
    <w:name w:val="Hyperlink"/>
    <w:basedOn w:val="a0"/>
    <w:uiPriority w:val="99"/>
    <w:unhideWhenUsed/>
    <w:rsid w:val="007B6EB6"/>
    <w:rPr>
      <w:color w:val="0563C1" w:themeColor="hyperlink"/>
      <w:u w:val="single"/>
    </w:rPr>
  </w:style>
  <w:style w:type="character" w:styleId="af1">
    <w:name w:val="Unresolved Mention"/>
    <w:basedOn w:val="a0"/>
    <w:uiPriority w:val="99"/>
    <w:semiHidden/>
    <w:unhideWhenUsed/>
    <w:rsid w:val="0063415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pn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hyperlink" Target="http://www.cpcaauto.com" TargetMode="Externa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5" Type="http://schemas.openxmlformats.org/officeDocument/2006/relationships/footnotes" Target="footnote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jpeg"/></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37</TotalTime>
  <Pages>16</Pages>
  <Words>2487</Words>
  <Characters>14176</Characters>
  <Application>Microsoft Office Word</Application>
  <DocSecurity>0</DocSecurity>
  <Lines>118</Lines>
  <Paragraphs>33</Paragraphs>
  <ScaleCrop>false</ScaleCrop>
  <Company/>
  <LinksUpToDate>false</LinksUpToDate>
  <CharactersWithSpaces>16630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cuidongshu11@outlook.com</dc:creator>
  <cp:keywords/>
  <dc:description/>
  <cp:lastModifiedBy>承桉 李</cp:lastModifiedBy>
  <cp:revision>4</cp:revision>
  <dcterms:created xsi:type="dcterms:W3CDTF">2021-07-21T13:16:00Z</dcterms:created>
  <dcterms:modified xsi:type="dcterms:W3CDTF">2021-07-21T14:43:00Z</dcterms:modified>
</cp:coreProperties>
</file>