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BDF3D" w14:textId="7DFD77D9" w:rsidR="007B14C9" w:rsidRDefault="007B14C9" w:rsidP="007B14C9">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sidR="00E01725">
        <w:rPr>
          <w:rFonts w:ascii="黑体" w:eastAsia="黑体" w:cs="黑体" w:hint="eastAsia"/>
          <w:sz w:val="24"/>
        </w:rPr>
        <w:t>4</w:t>
      </w:r>
      <w:r w:rsidR="00E01725">
        <w:rPr>
          <w:rFonts w:ascii="黑体" w:eastAsia="黑体" w:cs="黑体"/>
          <w:sz w:val="24"/>
        </w:rPr>
        <w:t>0-</w:t>
      </w:r>
      <w:r>
        <w:rPr>
          <w:rFonts w:ascii="黑体" w:eastAsia="黑体" w:cs="黑体"/>
          <w:sz w:val="24"/>
        </w:rPr>
        <w:t>41</w:t>
      </w:r>
      <w:r w:rsidRPr="002009FE">
        <w:rPr>
          <w:rFonts w:ascii="黑体" w:eastAsia="黑体" w:cs="黑体" w:hint="eastAsia"/>
          <w:sz w:val="24"/>
        </w:rPr>
        <w:t>期（</w:t>
      </w:r>
      <w:r>
        <w:rPr>
          <w:rFonts w:ascii="黑体" w:eastAsia="黑体" w:cs="黑体"/>
          <w:sz w:val="24"/>
        </w:rPr>
        <w:t>10</w:t>
      </w:r>
      <w:r w:rsidRPr="002009FE">
        <w:rPr>
          <w:rFonts w:ascii="黑体" w:eastAsia="黑体" w:cs="黑体" w:hint="eastAsia"/>
          <w:sz w:val="24"/>
        </w:rPr>
        <w:t>月</w:t>
      </w:r>
      <w:r w:rsidR="00E01725">
        <w:rPr>
          <w:rFonts w:ascii="黑体" w:eastAsia="黑体" w:cs="黑体"/>
          <w:sz w:val="24"/>
        </w:rPr>
        <w:t>0</w:t>
      </w:r>
      <w:r>
        <w:rPr>
          <w:rFonts w:ascii="黑体" w:eastAsia="黑体" w:cs="黑体" w:hint="eastAsia"/>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10</w:t>
      </w:r>
      <w:r w:rsidRPr="002009FE">
        <w:rPr>
          <w:rFonts w:ascii="黑体" w:eastAsia="黑体" w:cs="黑体" w:hint="eastAsia"/>
          <w:sz w:val="24"/>
        </w:rPr>
        <w:t>月</w:t>
      </w:r>
      <w:r>
        <w:rPr>
          <w:rFonts w:ascii="黑体" w:eastAsia="黑体" w:cs="黑体"/>
          <w:sz w:val="24"/>
        </w:rPr>
        <w:t>17</w:t>
      </w:r>
      <w:r w:rsidRPr="002009FE">
        <w:rPr>
          <w:rFonts w:ascii="黑体" w:eastAsia="黑体" w:cs="黑体" w:hint="eastAsia"/>
          <w:sz w:val="24"/>
        </w:rPr>
        <w:t>日）</w:t>
      </w:r>
      <w:bookmarkEnd w:id="0"/>
    </w:p>
    <w:p w14:paraId="7FEBBB63" w14:textId="77777777" w:rsidR="00E01725" w:rsidRPr="002009FE" w:rsidRDefault="00E01725" w:rsidP="007B14C9">
      <w:pPr>
        <w:jc w:val="center"/>
        <w:outlineLvl w:val="0"/>
        <w:rPr>
          <w:rFonts w:ascii="黑体" w:eastAsia="黑体" w:cs="Times New Roman" w:hint="eastAsia"/>
          <w:sz w:val="24"/>
        </w:rPr>
      </w:pPr>
    </w:p>
    <w:p w14:paraId="3070093E" w14:textId="77777777" w:rsidR="007B14C9" w:rsidRPr="00A43D0D" w:rsidRDefault="007B14C9" w:rsidP="007B14C9">
      <w:pPr>
        <w:rPr>
          <w:rFonts w:ascii="黑体" w:eastAsia="黑体" w:cs="黑体"/>
        </w:rPr>
      </w:pPr>
      <w:r w:rsidRPr="00A43D0D">
        <w:rPr>
          <w:rFonts w:ascii="黑体" w:eastAsia="黑体" w:cs="黑体" w:hint="eastAsia"/>
        </w:rPr>
        <w:t>主要信息源自乘联会每日新闻等</w:t>
      </w:r>
    </w:p>
    <w:p w14:paraId="551F6072" w14:textId="77777777" w:rsidR="007B14C9" w:rsidRPr="00A43D0D" w:rsidRDefault="007B14C9" w:rsidP="007B14C9">
      <w:pPr>
        <w:rPr>
          <w:rFonts w:ascii="黑体" w:eastAsia="黑体" w:cs="黑体"/>
        </w:rPr>
      </w:pPr>
      <w:r w:rsidRPr="00A43D0D">
        <w:rPr>
          <w:rFonts w:ascii="黑体" w:eastAsia="黑体" w:cs="黑体" w:hint="eastAsia"/>
        </w:rPr>
        <w:t>中国汽车流通协会汽车市场研究分会</w:t>
      </w:r>
    </w:p>
    <w:p w14:paraId="2FC3D5D9" w14:textId="77777777" w:rsidR="007B14C9" w:rsidRPr="00A43D0D" w:rsidRDefault="007B14C9" w:rsidP="007B14C9">
      <w:pPr>
        <w:rPr>
          <w:rFonts w:ascii="黑体" w:eastAsia="黑体" w:cs="黑体"/>
        </w:rPr>
      </w:pPr>
      <w:r w:rsidRPr="00A43D0D">
        <w:rPr>
          <w:rFonts w:ascii="黑体" w:eastAsia="黑体" w:cs="黑体" w:hint="eastAsia"/>
        </w:rPr>
        <w:t>乘用车市场信息联席会（乘联会）</w:t>
      </w:r>
    </w:p>
    <w:p w14:paraId="06EFB6E9" w14:textId="641CE4D7" w:rsidR="007B14C9" w:rsidRDefault="007B14C9" w:rsidP="007B14C9">
      <w:pPr>
        <w:rPr>
          <w:rFonts w:ascii="黑体" w:eastAsia="黑体" w:cs="黑体"/>
        </w:rPr>
      </w:pPr>
      <w:r w:rsidRPr="00A43D0D">
        <w:rPr>
          <w:rFonts w:ascii="黑体" w:eastAsia="黑体" w:cs="黑体" w:hint="eastAsia"/>
        </w:rPr>
        <w:t>网站：</w:t>
      </w:r>
      <w:hyperlink r:id="rId7" w:history="1">
        <w:r w:rsidR="00E01725" w:rsidRPr="00071E4E">
          <w:rPr>
            <w:rStyle w:val="af0"/>
            <w:rFonts w:ascii="黑体" w:eastAsia="黑体" w:cs="黑体"/>
          </w:rPr>
          <w:t>http://www.cpcaauto.com</w:t>
        </w:r>
      </w:hyperlink>
    </w:p>
    <w:p w14:paraId="116133AB" w14:textId="77777777" w:rsidR="00E01725" w:rsidRPr="00E01725" w:rsidRDefault="00E01725" w:rsidP="007B14C9">
      <w:pPr>
        <w:rPr>
          <w:rFonts w:cs="Times New Roman" w:hint="eastAsia"/>
        </w:rPr>
      </w:pPr>
    </w:p>
    <w:p w14:paraId="3548AA4A" w14:textId="77777777" w:rsidR="007B14C9" w:rsidRPr="002009FE" w:rsidRDefault="007B14C9" w:rsidP="007B14C9">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2C4C9D7" w14:textId="2ECB8ED9" w:rsidR="003A0308" w:rsidRPr="006451EF" w:rsidRDefault="006451EF" w:rsidP="006451EF">
      <w:pPr>
        <w:outlineLvl w:val="1"/>
        <w:rPr>
          <w:rFonts w:ascii="黑体" w:eastAsia="黑体" w:hAnsi="黑体" w:cs="Times New Roman" w:hint="eastAsia"/>
          <w:b/>
          <w:bCs/>
          <w:sz w:val="24"/>
        </w:rPr>
      </w:pPr>
      <w:r>
        <w:rPr>
          <w:rFonts w:ascii="黑体" w:eastAsia="黑体" w:hAnsi="黑体" w:cs="Times New Roman"/>
          <w:b/>
          <w:bCs/>
          <w:sz w:val="24"/>
        </w:rPr>
        <w:t>1</w:t>
      </w:r>
      <w:r>
        <w:rPr>
          <w:rFonts w:ascii="黑体" w:eastAsia="黑体" w:hAnsi="黑体" w:cs="Times New Roman" w:hint="eastAsia"/>
          <w:b/>
          <w:bCs/>
          <w:sz w:val="24"/>
        </w:rPr>
        <w:t>.</w:t>
      </w:r>
      <w:r w:rsidR="003A0308">
        <w:rPr>
          <w:rFonts w:ascii="黑体" w:eastAsia="黑体" w:hAnsi="黑体" w:cs="Times New Roman"/>
          <w:b/>
          <w:bCs/>
          <w:sz w:val="24"/>
        </w:rPr>
        <w:t>10</w:t>
      </w:r>
      <w:r w:rsidRPr="006451EF">
        <w:rPr>
          <w:rFonts w:ascii="黑体" w:eastAsia="黑体" w:hAnsi="黑体" w:cs="Times New Roman"/>
          <w:b/>
          <w:bCs/>
          <w:sz w:val="24"/>
        </w:rPr>
        <w:t>月乘用车市场周度零售走势</w:t>
      </w:r>
    </w:p>
    <w:p w14:paraId="0A098A11" w14:textId="15E78FA7" w:rsidR="006451EF" w:rsidRPr="003A0308" w:rsidRDefault="006451EF" w:rsidP="006451EF">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6F7EB72E" wp14:editId="67182781">
            <wp:extent cx="4320000" cy="320541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13"/>
                    </a:xfrm>
                    <a:prstGeom prst="rect">
                      <a:avLst/>
                    </a:prstGeom>
                  </pic:spPr>
                </pic:pic>
              </a:graphicData>
            </a:graphic>
          </wp:inline>
        </w:drawing>
      </w:r>
    </w:p>
    <w:p w14:paraId="79380B33" w14:textId="77777777" w:rsidR="006451EF" w:rsidRDefault="003A0308" w:rsidP="006451EF">
      <w:pPr>
        <w:ind w:firstLineChars="200" w:firstLine="420"/>
        <w:rPr>
          <w:rFonts w:ascii="Calibri" w:eastAsia="宋体" w:hAnsi="Calibri" w:cs="Times New Roman"/>
          <w:szCs w:val="21"/>
        </w:rPr>
      </w:pPr>
      <w:r>
        <w:rPr>
          <w:rFonts w:ascii="Calibri" w:eastAsia="宋体" w:hAnsi="Calibri" w:cs="Times New Roman"/>
          <w:szCs w:val="21"/>
        </w:rPr>
        <w:t>10</w:t>
      </w:r>
      <w:r w:rsidRPr="002A7C74">
        <w:rPr>
          <w:rFonts w:ascii="Calibri" w:eastAsia="宋体" w:hAnsi="Calibri" w:cs="Times New Roman"/>
          <w:szCs w:val="21"/>
        </w:rPr>
        <w:t>月第</w:t>
      </w:r>
      <w:r w:rsidR="006451EF">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3.5</w:t>
      </w:r>
      <w:r w:rsidR="006451EF">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9</w:t>
      </w:r>
      <w:r>
        <w:rPr>
          <w:rFonts w:ascii="Calibri" w:eastAsia="宋体" w:hAnsi="Calibri" w:cs="Times New Roman" w:hint="eastAsia"/>
          <w:szCs w:val="21"/>
        </w:rPr>
        <w:t>月的第</w:t>
      </w:r>
      <w:r w:rsidR="006451EF">
        <w:rPr>
          <w:rFonts w:ascii="Calibri" w:eastAsia="宋体" w:hAnsi="Calibri" w:cs="Times New Roman" w:hint="eastAsia"/>
          <w:szCs w:val="21"/>
        </w:rPr>
        <w:t>一</w:t>
      </w:r>
      <w:r>
        <w:rPr>
          <w:rFonts w:ascii="Calibri" w:eastAsia="宋体" w:hAnsi="Calibri" w:cs="Times New Roman" w:hint="eastAsia"/>
          <w:szCs w:val="21"/>
        </w:rPr>
        <w:t>周增</w:t>
      </w:r>
      <w:r>
        <w:rPr>
          <w:rFonts w:ascii="Calibri" w:eastAsia="宋体" w:hAnsi="Calibri" w:cs="Times New Roman" w:hint="eastAsia"/>
          <w:szCs w:val="21"/>
        </w:rPr>
        <w:t>8%</w:t>
      </w:r>
      <w:r>
        <w:rPr>
          <w:rFonts w:ascii="Calibri" w:eastAsia="宋体" w:hAnsi="Calibri" w:cs="Times New Roman" w:hint="eastAsia"/>
          <w:szCs w:val="21"/>
        </w:rPr>
        <w:t>。</w:t>
      </w:r>
    </w:p>
    <w:p w14:paraId="0CD18EF1" w14:textId="77777777" w:rsidR="006451EF" w:rsidRDefault="003A0308" w:rsidP="006451EF">
      <w:pPr>
        <w:ind w:firstLineChars="200" w:firstLine="420"/>
        <w:rPr>
          <w:rFonts w:ascii="Calibri" w:eastAsia="宋体" w:hAnsi="Calibri" w:cs="Times New Roman"/>
          <w:szCs w:val="21"/>
        </w:rPr>
      </w:pPr>
      <w:r>
        <w:rPr>
          <w:rFonts w:ascii="Calibri" w:eastAsia="宋体" w:hAnsi="Calibri" w:cs="Times New Roman"/>
          <w:szCs w:val="21"/>
        </w:rPr>
        <w:t>10</w:t>
      </w:r>
      <w:r w:rsidRPr="002A7C74">
        <w:rPr>
          <w:rFonts w:ascii="Calibri" w:eastAsia="宋体" w:hAnsi="Calibri" w:cs="Times New Roman"/>
          <w:szCs w:val="21"/>
        </w:rPr>
        <w:t>月第</w:t>
      </w:r>
      <w:r w:rsidR="006451EF">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4.</w:t>
      </w:r>
      <w:r w:rsidR="0080124F">
        <w:rPr>
          <w:rFonts w:ascii="Calibri" w:eastAsia="宋体" w:hAnsi="Calibri" w:cs="Times New Roman"/>
          <w:szCs w:val="21"/>
        </w:rPr>
        <w:t>6</w:t>
      </w:r>
      <w:r w:rsidR="006451EF">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80124F">
        <w:rPr>
          <w:rFonts w:ascii="Calibri" w:eastAsia="宋体" w:hAnsi="Calibri" w:cs="Times New Roman"/>
          <w:szCs w:val="21"/>
        </w:rPr>
        <w:t>19</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偏弱。相对今年</w:t>
      </w:r>
      <w:r>
        <w:rPr>
          <w:rFonts w:ascii="Calibri" w:eastAsia="宋体" w:hAnsi="Calibri" w:cs="Times New Roman"/>
          <w:szCs w:val="21"/>
        </w:rPr>
        <w:t>9</w:t>
      </w:r>
      <w:r>
        <w:rPr>
          <w:rFonts w:ascii="Calibri" w:eastAsia="宋体" w:hAnsi="Calibri" w:cs="Times New Roman" w:hint="eastAsia"/>
          <w:szCs w:val="21"/>
        </w:rPr>
        <w:t>月的第</w:t>
      </w:r>
      <w:r w:rsidR="006451EF">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szCs w:val="21"/>
        </w:rPr>
        <w:t>1</w:t>
      </w:r>
      <w:r w:rsidR="0080124F">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3C344DC5" w14:textId="77777777" w:rsidR="006451EF" w:rsidRDefault="003A0308" w:rsidP="006451E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10</w:t>
      </w:r>
      <w:r>
        <w:rPr>
          <w:rFonts w:ascii="Calibri" w:eastAsia="宋体" w:hAnsi="Calibri" w:cs="Times New Roman" w:hint="eastAsia"/>
          <w:szCs w:val="21"/>
        </w:rPr>
        <w:t>月的前</w:t>
      </w:r>
      <w:r w:rsidR="006451EF">
        <w:rPr>
          <w:rFonts w:ascii="Calibri" w:eastAsia="宋体" w:hAnsi="Calibri" w:cs="Times New Roman" w:hint="eastAsia"/>
          <w:szCs w:val="21"/>
        </w:rPr>
        <w:t>两</w:t>
      </w:r>
      <w:r>
        <w:rPr>
          <w:rFonts w:ascii="Calibri" w:eastAsia="宋体" w:hAnsi="Calibri" w:cs="Times New Roman" w:hint="eastAsia"/>
          <w:szCs w:val="21"/>
        </w:rPr>
        <w:t>周总体同比下降</w:t>
      </w:r>
      <w:r>
        <w:rPr>
          <w:rFonts w:ascii="Calibri" w:eastAsia="宋体" w:hAnsi="Calibri" w:cs="Times New Roman"/>
          <w:szCs w:val="21"/>
        </w:rPr>
        <w:t>1</w:t>
      </w:r>
      <w:r w:rsidR="0080124F">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，零售走势较平淡。</w:t>
      </w:r>
      <w:r w:rsidRPr="003A0308">
        <w:rPr>
          <w:rFonts w:ascii="Calibri" w:eastAsia="宋体" w:hAnsi="Calibri" w:cs="Times New Roman" w:hint="eastAsia"/>
          <w:szCs w:val="21"/>
        </w:rPr>
        <w:t>消费政策转型降低家庭成本，有利于车市恢复。消费者对于车辆的需求持续回升。使得低智能化的车型，尤其是合资老款车型得以进一步回升销量</w:t>
      </w:r>
      <w:r>
        <w:rPr>
          <w:rFonts w:ascii="Calibri" w:eastAsia="宋体" w:hAnsi="Calibri" w:cs="Times New Roman" w:hint="eastAsia"/>
          <w:szCs w:val="21"/>
        </w:rPr>
        <w:t>。</w:t>
      </w:r>
    </w:p>
    <w:p w14:paraId="643B6BC9" w14:textId="77777777" w:rsidR="006451EF" w:rsidRDefault="003A0308" w:rsidP="006451EF">
      <w:pPr>
        <w:ind w:firstLineChars="200" w:firstLine="420"/>
        <w:rPr>
          <w:rFonts w:ascii="Calibri" w:eastAsia="宋体" w:hAnsi="Calibri" w:cs="Times New Roman"/>
          <w:szCs w:val="21"/>
        </w:rPr>
      </w:pPr>
      <w:r w:rsidRPr="003A0308">
        <w:rPr>
          <w:rFonts w:ascii="Calibri" w:eastAsia="宋体" w:hAnsi="Calibri" w:cs="Times New Roman" w:hint="eastAsia"/>
          <w:szCs w:val="21"/>
        </w:rPr>
        <w:t>芯片供应除了产能因素外，增加了人为因素，更加复杂化，变得不可预期</w:t>
      </w:r>
      <w:r>
        <w:rPr>
          <w:rFonts w:ascii="Calibri" w:eastAsia="宋体" w:hAnsi="Calibri" w:cs="Times New Roman" w:hint="eastAsia"/>
          <w:szCs w:val="21"/>
        </w:rPr>
        <w:t>。</w:t>
      </w:r>
      <w:r w:rsidRPr="003A0308">
        <w:rPr>
          <w:rFonts w:ascii="Calibri" w:eastAsia="宋体" w:hAnsi="Calibri" w:cs="Times New Roman" w:hint="eastAsia"/>
          <w:szCs w:val="21"/>
        </w:rPr>
        <w:t>芯片短缺导致的供给不足短期难以解决，旺季效应下短缺压力更大；部分地区突发疫情仍不时分散爆发，情况不稳，需求端不能完全释放</w:t>
      </w:r>
      <w:r>
        <w:rPr>
          <w:rFonts w:ascii="Calibri" w:eastAsia="宋体" w:hAnsi="Calibri" w:cs="Times New Roman" w:hint="eastAsia"/>
          <w:szCs w:val="21"/>
        </w:rPr>
        <w:t>。</w:t>
      </w:r>
    </w:p>
    <w:p w14:paraId="71ADDB40" w14:textId="56A2D90E" w:rsidR="003A0308" w:rsidRDefault="003A0308" w:rsidP="006451EF">
      <w:pPr>
        <w:ind w:firstLineChars="200" w:firstLine="420"/>
        <w:rPr>
          <w:rFonts w:ascii="Calibri" w:eastAsia="宋体" w:hAnsi="Calibri" w:cs="Times New Roman" w:hint="eastAsia"/>
          <w:szCs w:val="21"/>
        </w:rPr>
      </w:pPr>
      <w:r w:rsidRPr="003A0308">
        <w:rPr>
          <w:rFonts w:ascii="Calibri" w:eastAsia="宋体" w:hAnsi="Calibri" w:cs="Times New Roman" w:hint="eastAsia"/>
          <w:szCs w:val="21"/>
        </w:rPr>
        <w:t>终端供应不足带来的加价，导致消费者观望情绪加重</w:t>
      </w:r>
      <w:r>
        <w:rPr>
          <w:rFonts w:ascii="Calibri" w:eastAsia="宋体" w:hAnsi="Calibri" w:cs="Times New Roman" w:hint="eastAsia"/>
          <w:szCs w:val="21"/>
        </w:rPr>
        <w:t>。</w:t>
      </w:r>
      <w:r w:rsidRPr="003A0308">
        <w:rPr>
          <w:rFonts w:ascii="Calibri" w:eastAsia="宋体" w:hAnsi="Calibri" w:cs="Times New Roman" w:hint="eastAsia"/>
          <w:szCs w:val="21"/>
        </w:rPr>
        <w:t>恒大等房产的债务问题直接影响了大宗商品的消费，包括金融信贷的收缩。</w:t>
      </w:r>
    </w:p>
    <w:p w14:paraId="4197856E" w14:textId="77777777" w:rsidR="003A0308" w:rsidRPr="004116AF" w:rsidRDefault="003A0308" w:rsidP="003A0308">
      <w:pPr>
        <w:ind w:firstLineChars="135" w:firstLine="283"/>
        <w:rPr>
          <w:rFonts w:ascii="Calibri" w:eastAsia="宋体" w:hAnsi="Calibri" w:cs="Times New Roman"/>
          <w:szCs w:val="21"/>
        </w:rPr>
      </w:pPr>
    </w:p>
    <w:p w14:paraId="6660863D" w14:textId="7A9EF734" w:rsidR="003A0308" w:rsidRPr="002A5F53" w:rsidRDefault="006451EF" w:rsidP="002A5F53">
      <w:pPr>
        <w:outlineLvl w:val="1"/>
        <w:rPr>
          <w:rFonts w:ascii="黑体" w:eastAsia="黑体" w:hAnsi="黑体" w:cs="Times New Roman" w:hint="eastAsia"/>
          <w:b/>
          <w:bCs/>
          <w:sz w:val="24"/>
        </w:rPr>
      </w:pPr>
      <w:r>
        <w:rPr>
          <w:rFonts w:ascii="黑体" w:eastAsia="黑体" w:hAnsi="黑体" w:cs="Times New Roman"/>
          <w:b/>
          <w:bCs/>
          <w:sz w:val="24"/>
        </w:rPr>
        <w:t>2</w:t>
      </w:r>
      <w:r>
        <w:rPr>
          <w:rFonts w:ascii="黑体" w:eastAsia="黑体" w:hAnsi="黑体" w:cs="Times New Roman" w:hint="eastAsia"/>
          <w:b/>
          <w:bCs/>
          <w:sz w:val="24"/>
        </w:rPr>
        <w:t>.</w:t>
      </w:r>
      <w:r w:rsidR="003A0308">
        <w:rPr>
          <w:rFonts w:ascii="黑体" w:eastAsia="黑体" w:hAnsi="黑体" w:cs="Times New Roman"/>
          <w:b/>
          <w:bCs/>
          <w:sz w:val="24"/>
        </w:rPr>
        <w:t>1</w:t>
      </w:r>
      <w:r>
        <w:rPr>
          <w:rFonts w:ascii="黑体" w:eastAsia="黑体" w:hAnsi="黑体" w:cs="Times New Roman"/>
          <w:b/>
          <w:bCs/>
          <w:sz w:val="24"/>
        </w:rPr>
        <w:t>0</w:t>
      </w:r>
      <w:r w:rsidRPr="006451EF">
        <w:rPr>
          <w:rFonts w:ascii="黑体" w:eastAsia="黑体" w:hAnsi="黑体" w:cs="Times New Roman" w:hint="eastAsia"/>
          <w:b/>
          <w:bCs/>
          <w:sz w:val="24"/>
        </w:rPr>
        <w:t>月乘用车市场周度批发走势</w:t>
      </w:r>
    </w:p>
    <w:p w14:paraId="08923F86" w14:textId="05AC0A1B" w:rsidR="00AB4DF3" w:rsidRDefault="00AB4DF3" w:rsidP="00AB4DF3">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340C6E2C" wp14:editId="3501DE3E">
            <wp:extent cx="4320000" cy="3206973"/>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0D160C98" w14:textId="77777777" w:rsidR="002A5F53" w:rsidRDefault="003A0308" w:rsidP="002A5F53">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2A5F53">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w:t>
      </w:r>
      <w:r w:rsidR="002A5F53">
        <w:rPr>
          <w:rFonts w:ascii="Calibri" w:eastAsia="宋体" w:hAnsi="Calibri" w:cs="Times New Roman"/>
          <w:szCs w:val="21"/>
        </w:rPr>
        <w:t>4</w:t>
      </w:r>
      <w:r w:rsidR="006451EF">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月第一周的销量下降</w:t>
      </w:r>
      <w:r>
        <w:rPr>
          <w:rFonts w:ascii="Calibri" w:eastAsia="宋体" w:hAnsi="Calibri" w:cs="Times New Roman"/>
          <w:szCs w:val="21"/>
        </w:rPr>
        <w:t>16</w:t>
      </w:r>
      <w:r>
        <w:rPr>
          <w:rFonts w:ascii="Calibri" w:eastAsia="宋体" w:hAnsi="Calibri" w:cs="Times New Roman" w:hint="eastAsia"/>
          <w:szCs w:val="21"/>
        </w:rPr>
        <w:t>%</w:t>
      </w:r>
      <w:r w:rsidR="002A5F53">
        <w:rPr>
          <w:rFonts w:ascii="Calibri" w:eastAsia="宋体" w:hAnsi="Calibri" w:cs="Times New Roman" w:hint="eastAsia"/>
          <w:szCs w:val="21"/>
        </w:rPr>
        <w:t>。</w:t>
      </w:r>
    </w:p>
    <w:p w14:paraId="31B2F754" w14:textId="77777777" w:rsidR="002A5F53" w:rsidRDefault="003A0308" w:rsidP="002A5F53">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2A5F53">
        <w:rPr>
          <w:rFonts w:ascii="Calibri" w:eastAsia="宋体" w:hAnsi="Calibri" w:cs="Times New Roman" w:hint="eastAsia"/>
          <w:szCs w:val="21"/>
        </w:rPr>
        <w:t>二</w:t>
      </w:r>
      <w:r>
        <w:rPr>
          <w:rFonts w:ascii="Calibri" w:eastAsia="宋体" w:hAnsi="Calibri" w:cs="Times New Roman" w:hint="eastAsia"/>
          <w:szCs w:val="21"/>
        </w:rPr>
        <w:t>周日均批发</w:t>
      </w:r>
      <w:r w:rsidR="0080124F">
        <w:rPr>
          <w:rFonts w:ascii="Calibri" w:eastAsia="宋体" w:hAnsi="Calibri" w:cs="Times New Roman"/>
          <w:szCs w:val="21"/>
        </w:rPr>
        <w:t>5.</w:t>
      </w:r>
      <w:r w:rsidR="002A5F53">
        <w:rPr>
          <w:rFonts w:ascii="Calibri" w:eastAsia="宋体" w:hAnsi="Calibri" w:cs="Times New Roman"/>
          <w:szCs w:val="21"/>
        </w:rPr>
        <w:t>1</w:t>
      </w:r>
      <w:r w:rsidR="006451EF">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sidR="0080124F">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9</w:t>
      </w:r>
      <w:r>
        <w:rPr>
          <w:rFonts w:ascii="Calibri" w:eastAsia="宋体" w:hAnsi="Calibri" w:cs="Times New Roman" w:hint="eastAsia"/>
          <w:szCs w:val="21"/>
        </w:rPr>
        <w:t>月第</w:t>
      </w:r>
      <w:r w:rsidR="002A5F53">
        <w:rPr>
          <w:rFonts w:ascii="Calibri" w:eastAsia="宋体" w:hAnsi="Calibri" w:cs="Times New Roman" w:hint="eastAsia"/>
          <w:szCs w:val="21"/>
        </w:rPr>
        <w:t>二</w:t>
      </w:r>
      <w:r>
        <w:rPr>
          <w:rFonts w:ascii="Calibri" w:eastAsia="宋体" w:hAnsi="Calibri" w:cs="Times New Roman" w:hint="eastAsia"/>
          <w:szCs w:val="21"/>
        </w:rPr>
        <w:t>周的销量增长</w:t>
      </w:r>
      <w:r w:rsidR="0080124F">
        <w:rPr>
          <w:rFonts w:ascii="Calibri" w:eastAsia="宋体" w:hAnsi="Calibri" w:cs="Times New Roman"/>
          <w:szCs w:val="21"/>
        </w:rPr>
        <w:t>38</w:t>
      </w:r>
      <w:r>
        <w:rPr>
          <w:rFonts w:ascii="Calibri" w:eastAsia="宋体" w:hAnsi="Calibri" w:cs="Times New Roman" w:hint="eastAsia"/>
          <w:szCs w:val="21"/>
        </w:rPr>
        <w:t>%</w:t>
      </w:r>
      <w:r w:rsidR="0080124F">
        <w:rPr>
          <w:rFonts w:ascii="Calibri" w:eastAsia="宋体" w:hAnsi="Calibri" w:cs="Times New Roman" w:hint="eastAsia"/>
          <w:szCs w:val="21"/>
        </w:rPr>
        <w:t>，体现供给</w:t>
      </w:r>
      <w:r w:rsidR="002A5F53">
        <w:rPr>
          <w:rFonts w:ascii="Calibri" w:eastAsia="宋体" w:hAnsi="Calibri" w:cs="Times New Roman" w:hint="eastAsia"/>
          <w:szCs w:val="21"/>
        </w:rPr>
        <w:t>端</w:t>
      </w:r>
      <w:r w:rsidR="0080124F">
        <w:rPr>
          <w:rFonts w:ascii="Calibri" w:eastAsia="宋体" w:hAnsi="Calibri" w:cs="Times New Roman" w:hint="eastAsia"/>
          <w:szCs w:val="21"/>
        </w:rPr>
        <w:t>逐步改善。</w:t>
      </w:r>
    </w:p>
    <w:p w14:paraId="59C8084C" w14:textId="25048C11" w:rsidR="003A0308" w:rsidRPr="003A0308" w:rsidRDefault="003A0308" w:rsidP="002A5F5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10</w:t>
      </w:r>
      <w:r>
        <w:rPr>
          <w:rFonts w:ascii="Calibri" w:eastAsia="宋体" w:hAnsi="Calibri" w:cs="Times New Roman" w:hint="eastAsia"/>
          <w:szCs w:val="21"/>
        </w:rPr>
        <w:t>月前</w:t>
      </w:r>
      <w:r w:rsidR="002A5F53">
        <w:rPr>
          <w:rFonts w:ascii="Calibri" w:eastAsia="宋体" w:hAnsi="Calibri" w:cs="Times New Roman" w:hint="eastAsia"/>
          <w:szCs w:val="21"/>
        </w:rPr>
        <w:t>两</w:t>
      </w:r>
      <w:r>
        <w:rPr>
          <w:rFonts w:ascii="Calibri" w:eastAsia="宋体" w:hAnsi="Calibri" w:cs="Times New Roman" w:hint="eastAsia"/>
          <w:szCs w:val="21"/>
        </w:rPr>
        <w:t>周</w:t>
      </w:r>
      <w:r w:rsidR="002A5F53">
        <w:rPr>
          <w:rFonts w:ascii="Calibri" w:eastAsia="宋体" w:hAnsi="Calibri" w:cs="Times New Roman" w:hint="eastAsia"/>
          <w:szCs w:val="21"/>
        </w:rPr>
        <w:t>厂商</w:t>
      </w:r>
      <w:r>
        <w:rPr>
          <w:rFonts w:ascii="Calibri" w:eastAsia="宋体" w:hAnsi="Calibri" w:cs="Times New Roman" w:hint="eastAsia"/>
          <w:szCs w:val="21"/>
        </w:rPr>
        <w:t>批发总体同比下降</w:t>
      </w:r>
      <w:r w:rsidR="0080124F">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szCs w:val="21"/>
        </w:rPr>
        <w:t>9</w:t>
      </w:r>
      <w:r>
        <w:rPr>
          <w:rFonts w:ascii="Calibri" w:eastAsia="宋体" w:hAnsi="Calibri" w:cs="Times New Roman" w:hint="eastAsia"/>
          <w:szCs w:val="21"/>
        </w:rPr>
        <w:t>月</w:t>
      </w:r>
      <w:r w:rsidR="002A5F53">
        <w:rPr>
          <w:rFonts w:ascii="Calibri" w:eastAsia="宋体" w:hAnsi="Calibri" w:cs="Times New Roman" w:hint="eastAsia"/>
          <w:szCs w:val="21"/>
        </w:rPr>
        <w:t>同期</w:t>
      </w:r>
      <w:r>
        <w:rPr>
          <w:rFonts w:ascii="Calibri" w:eastAsia="宋体" w:hAnsi="Calibri" w:cs="Times New Roman" w:hint="eastAsia"/>
          <w:szCs w:val="21"/>
        </w:rPr>
        <w:t>增长</w:t>
      </w:r>
      <w:r w:rsidR="0080124F">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，应该是生产供给稍有改善。</w:t>
      </w:r>
      <w:r w:rsidRPr="003A0308">
        <w:rPr>
          <w:rFonts w:ascii="Calibri" w:eastAsia="宋体" w:hAnsi="Calibri" w:cs="Times New Roman" w:hint="eastAsia"/>
          <w:szCs w:val="21"/>
        </w:rPr>
        <w:t>十月份上市新车不多，</w:t>
      </w:r>
      <w:r w:rsidRPr="003A0308">
        <w:rPr>
          <w:rFonts w:ascii="Calibri" w:eastAsia="宋体" w:hAnsi="Calibri" w:cs="Times New Roman"/>
          <w:szCs w:val="21"/>
        </w:rPr>
        <w:t>10</w:t>
      </w:r>
      <w:r w:rsidRPr="003A0308">
        <w:rPr>
          <w:rFonts w:ascii="Calibri" w:eastAsia="宋体" w:hAnsi="Calibri" w:cs="Times New Roman"/>
          <w:szCs w:val="21"/>
        </w:rPr>
        <w:t>月工作日减少以及受芯片影响产能</w:t>
      </w:r>
      <w:r w:rsidR="002A5F53">
        <w:rPr>
          <w:rFonts w:ascii="Calibri" w:eastAsia="宋体" w:hAnsi="Calibri" w:cs="Times New Roman" w:hint="eastAsia"/>
          <w:szCs w:val="21"/>
        </w:rPr>
        <w:t>，</w:t>
      </w:r>
      <w:r w:rsidRPr="003A0308">
        <w:rPr>
          <w:rFonts w:ascii="Calibri" w:eastAsia="宋体" w:hAnsi="Calibri" w:cs="Times New Roman"/>
          <w:szCs w:val="21"/>
        </w:rPr>
        <w:t>导致提车周期的延长</w:t>
      </w:r>
      <w:r>
        <w:rPr>
          <w:rFonts w:ascii="Calibri" w:eastAsia="宋体" w:hAnsi="Calibri" w:cs="Times New Roman" w:hint="eastAsia"/>
          <w:szCs w:val="21"/>
        </w:rPr>
        <w:t>。预计</w:t>
      </w:r>
      <w:r w:rsidRPr="003A0308">
        <w:rPr>
          <w:rFonts w:ascii="Calibri" w:eastAsia="宋体" w:hAnsi="Calibri" w:cs="Times New Roman" w:hint="eastAsia"/>
          <w:szCs w:val="21"/>
        </w:rPr>
        <w:t>芯片</w:t>
      </w:r>
      <w:r w:rsidR="002A5F53">
        <w:rPr>
          <w:rFonts w:ascii="Calibri" w:eastAsia="宋体" w:hAnsi="Calibri" w:cs="Times New Roman" w:hint="eastAsia"/>
          <w:szCs w:val="21"/>
        </w:rPr>
        <w:t>供给</w:t>
      </w:r>
      <w:r w:rsidRPr="003A0308">
        <w:rPr>
          <w:rFonts w:ascii="Calibri" w:eastAsia="宋体" w:hAnsi="Calibri" w:cs="Times New Roman" w:hint="eastAsia"/>
          <w:szCs w:val="21"/>
        </w:rPr>
        <w:t>较上月环比改善</w:t>
      </w:r>
      <w:r w:rsidRPr="003A0308">
        <w:rPr>
          <w:rFonts w:ascii="Calibri" w:eastAsia="宋体" w:hAnsi="Calibri" w:cs="Times New Roman"/>
          <w:szCs w:val="21"/>
        </w:rPr>
        <w:t>20-30%</w:t>
      </w:r>
      <w:r w:rsidRPr="003A0308">
        <w:rPr>
          <w:rFonts w:ascii="Calibri" w:eastAsia="宋体" w:hAnsi="Calibri" w:cs="Times New Roman"/>
          <w:szCs w:val="21"/>
        </w:rPr>
        <w:t>，</w:t>
      </w:r>
      <w:r w:rsidR="002A5F53">
        <w:rPr>
          <w:rFonts w:ascii="Calibri" w:eastAsia="宋体" w:hAnsi="Calibri" w:cs="Times New Roman" w:hint="eastAsia"/>
          <w:szCs w:val="21"/>
        </w:rPr>
        <w:t>销量</w:t>
      </w:r>
      <w:r w:rsidRPr="003A0308">
        <w:rPr>
          <w:rFonts w:ascii="Calibri" w:eastAsia="宋体" w:hAnsi="Calibri" w:cs="Times New Roman"/>
          <w:szCs w:val="21"/>
        </w:rPr>
        <w:t>可</w:t>
      </w:r>
      <w:r w:rsidR="002A5F53">
        <w:rPr>
          <w:rFonts w:ascii="Calibri" w:eastAsia="宋体" w:hAnsi="Calibri" w:cs="Times New Roman" w:hint="eastAsia"/>
          <w:szCs w:val="21"/>
        </w:rPr>
        <w:t>实现</w:t>
      </w:r>
      <w:r w:rsidRPr="003A0308">
        <w:rPr>
          <w:rFonts w:ascii="Calibri" w:eastAsia="宋体" w:hAnsi="Calibri" w:cs="Times New Roman"/>
          <w:szCs w:val="21"/>
        </w:rPr>
        <w:t>环比增长</w:t>
      </w:r>
      <w:r w:rsidR="0080124F">
        <w:rPr>
          <w:rFonts w:ascii="Calibri" w:eastAsia="宋体" w:hAnsi="Calibri" w:cs="Times New Roman" w:hint="eastAsia"/>
          <w:szCs w:val="21"/>
        </w:rPr>
        <w:t>。</w:t>
      </w:r>
      <w:r w:rsidRPr="003A0308">
        <w:rPr>
          <w:rFonts w:ascii="Calibri" w:eastAsia="宋体" w:hAnsi="Calibri" w:cs="Times New Roman" w:hint="eastAsia"/>
          <w:szCs w:val="21"/>
        </w:rPr>
        <w:t>各地有序用电，将提高汽车产业供应</w:t>
      </w:r>
      <w:r w:rsidR="002A5F53">
        <w:rPr>
          <w:rFonts w:ascii="Calibri" w:eastAsia="宋体" w:hAnsi="Calibri" w:cs="Times New Roman" w:hint="eastAsia"/>
          <w:szCs w:val="21"/>
        </w:rPr>
        <w:t>抗</w:t>
      </w:r>
      <w:r w:rsidRPr="003A0308">
        <w:rPr>
          <w:rFonts w:ascii="Calibri" w:eastAsia="宋体" w:hAnsi="Calibri" w:cs="Times New Roman" w:hint="eastAsia"/>
          <w:szCs w:val="21"/>
        </w:rPr>
        <w:t>风险</w:t>
      </w:r>
      <w:r>
        <w:rPr>
          <w:rFonts w:ascii="Calibri" w:eastAsia="宋体" w:hAnsi="Calibri" w:cs="Times New Roman" w:hint="eastAsia"/>
          <w:szCs w:val="21"/>
        </w:rPr>
        <w:t>。</w:t>
      </w:r>
      <w:r w:rsidRPr="003A0308">
        <w:rPr>
          <w:rFonts w:ascii="Calibri" w:eastAsia="宋体" w:hAnsi="Calibri" w:cs="Times New Roman" w:hint="eastAsia"/>
          <w:szCs w:val="21"/>
        </w:rPr>
        <w:t>对新能源积分的需求大量存在，</w:t>
      </w:r>
      <w:r w:rsidRPr="003A0308">
        <w:rPr>
          <w:rFonts w:ascii="Calibri" w:eastAsia="宋体" w:hAnsi="Calibri" w:cs="Times New Roman"/>
          <w:szCs w:val="21"/>
        </w:rPr>
        <w:t>A00</w:t>
      </w:r>
      <w:r w:rsidRPr="003A0308">
        <w:rPr>
          <w:rFonts w:ascii="Calibri" w:eastAsia="宋体" w:hAnsi="Calibri" w:cs="Times New Roman"/>
          <w:szCs w:val="21"/>
        </w:rPr>
        <w:t>级纯电动产品热度可持续到</w:t>
      </w:r>
      <w:r w:rsidRPr="003A0308">
        <w:rPr>
          <w:rFonts w:ascii="Calibri" w:eastAsia="宋体" w:hAnsi="Calibri" w:cs="Times New Roman"/>
          <w:szCs w:val="21"/>
        </w:rPr>
        <w:t>2021</w:t>
      </w:r>
      <w:r w:rsidRPr="003A0308">
        <w:rPr>
          <w:rFonts w:ascii="Calibri" w:eastAsia="宋体" w:hAnsi="Calibri" w:cs="Times New Roman"/>
          <w:szCs w:val="21"/>
        </w:rPr>
        <w:t>年底</w:t>
      </w:r>
      <w:r w:rsidR="0080124F">
        <w:rPr>
          <w:rFonts w:ascii="Calibri" w:eastAsia="宋体" w:hAnsi="Calibri" w:cs="Times New Roman" w:hint="eastAsia"/>
          <w:szCs w:val="21"/>
        </w:rPr>
        <w:t>，因此车市新能源仍是相对较好的</w:t>
      </w:r>
      <w:r w:rsidRPr="003A0308">
        <w:rPr>
          <w:rFonts w:ascii="Calibri" w:eastAsia="宋体" w:hAnsi="Calibri" w:cs="Times New Roman"/>
          <w:szCs w:val="21"/>
        </w:rPr>
        <w:t>。</w:t>
      </w:r>
    </w:p>
    <w:p w14:paraId="242B8FF3" w14:textId="77777777" w:rsidR="007B14C9" w:rsidRPr="002009FE" w:rsidRDefault="007B14C9" w:rsidP="007B14C9">
      <w:pPr>
        <w:ind w:firstLineChars="135" w:firstLine="283"/>
        <w:rPr>
          <w:rFonts w:ascii="Calibri" w:eastAsia="宋体" w:hAnsi="Calibri" w:cs="Times New Roman"/>
          <w:szCs w:val="21"/>
        </w:rPr>
      </w:pPr>
    </w:p>
    <w:p w14:paraId="363E2330" w14:textId="0EED74E8" w:rsidR="007B14C9" w:rsidRPr="002009FE" w:rsidRDefault="006451EF" w:rsidP="006451EF">
      <w:pPr>
        <w:outlineLvl w:val="1"/>
        <w:rPr>
          <w:rFonts w:ascii="黑体" w:eastAsia="黑体" w:hAnsi="黑体" w:cs="Times New Roman"/>
          <w:b/>
          <w:bCs/>
          <w:sz w:val="24"/>
        </w:rPr>
      </w:pPr>
      <w:r>
        <w:rPr>
          <w:rFonts w:ascii="黑体" w:eastAsia="黑体" w:hAnsi="黑体" w:cs="Times New Roman" w:hint="eastAsia"/>
          <w:b/>
          <w:bCs/>
          <w:sz w:val="24"/>
        </w:rPr>
        <w:t>3</w:t>
      </w:r>
      <w:r>
        <w:rPr>
          <w:rFonts w:ascii="黑体" w:eastAsia="黑体" w:hAnsi="黑体" w:cs="Times New Roman"/>
          <w:b/>
          <w:bCs/>
          <w:sz w:val="24"/>
        </w:rPr>
        <w:t>.</w:t>
      </w:r>
      <w:r w:rsidR="00C94BED" w:rsidRPr="00C94BED">
        <w:rPr>
          <w:rFonts w:ascii="黑体" w:eastAsia="黑体" w:hAnsi="黑体" w:cs="Times New Roman" w:hint="eastAsia"/>
          <w:b/>
          <w:bCs/>
          <w:sz w:val="24"/>
        </w:rPr>
        <w:t>芯片供给最黑暗期已经过去</w:t>
      </w:r>
    </w:p>
    <w:p w14:paraId="1DC61C80" w14:textId="77777777" w:rsidR="002A5F53" w:rsidRDefault="00C94BED" w:rsidP="002A5F53">
      <w:pPr>
        <w:ind w:firstLineChars="200" w:firstLine="420"/>
        <w:rPr>
          <w:rFonts w:ascii="Calibri" w:eastAsia="宋体" w:hAnsi="Calibri" w:cs="宋体"/>
          <w:szCs w:val="21"/>
        </w:rPr>
      </w:pPr>
      <w:r w:rsidRPr="00C94BED">
        <w:rPr>
          <w:rFonts w:ascii="Calibri" w:eastAsia="宋体" w:hAnsi="Calibri" w:cs="宋体"/>
          <w:szCs w:val="21"/>
        </w:rPr>
        <w:t>10</w:t>
      </w:r>
      <w:r w:rsidRPr="00C94BED">
        <w:rPr>
          <w:rFonts w:ascii="Calibri" w:eastAsia="宋体" w:hAnsi="Calibri" w:cs="宋体"/>
          <w:szCs w:val="21"/>
        </w:rPr>
        <w:t>月</w:t>
      </w:r>
      <w:r w:rsidRPr="00C94BED">
        <w:rPr>
          <w:rFonts w:ascii="Calibri" w:eastAsia="宋体" w:hAnsi="Calibri" w:cs="宋体"/>
          <w:szCs w:val="21"/>
        </w:rPr>
        <w:t>14</w:t>
      </w:r>
      <w:r w:rsidRPr="00C94BED">
        <w:rPr>
          <w:rFonts w:ascii="Calibri" w:eastAsia="宋体" w:hAnsi="Calibri" w:cs="宋体"/>
          <w:szCs w:val="21"/>
        </w:rPr>
        <w:t>日，全球最大的芯片代工企业台积电发布</w:t>
      </w:r>
      <w:r w:rsidRPr="00C94BED">
        <w:rPr>
          <w:rFonts w:ascii="Calibri" w:eastAsia="宋体" w:hAnsi="Calibri" w:cs="宋体"/>
          <w:szCs w:val="21"/>
        </w:rPr>
        <w:t>2021</w:t>
      </w:r>
      <w:r w:rsidRPr="00C94BED">
        <w:rPr>
          <w:rFonts w:ascii="Calibri" w:eastAsia="宋体" w:hAnsi="Calibri" w:cs="宋体"/>
          <w:szCs w:val="21"/>
        </w:rPr>
        <w:t>年第三季度财报。</w:t>
      </w:r>
      <w:r w:rsidRPr="00C94BED">
        <w:rPr>
          <w:rFonts w:ascii="Calibri" w:eastAsia="宋体" w:hAnsi="Calibri" w:cs="宋体" w:hint="eastAsia"/>
          <w:szCs w:val="21"/>
        </w:rPr>
        <w:t>按产品类型划分，智能手机行业仍然是其营收最大的贡献者，占第三季度总收入的</w:t>
      </w:r>
      <w:r w:rsidRPr="00C94BED">
        <w:rPr>
          <w:rFonts w:ascii="Calibri" w:eastAsia="宋体" w:hAnsi="Calibri" w:cs="宋体"/>
          <w:szCs w:val="21"/>
        </w:rPr>
        <w:t>44%</w:t>
      </w:r>
      <w:r w:rsidRPr="00C94BED">
        <w:rPr>
          <w:rFonts w:ascii="Calibri" w:eastAsia="宋体" w:hAnsi="Calibri" w:cs="宋体"/>
          <w:szCs w:val="21"/>
        </w:rPr>
        <w:t>，而汽车行业占</w:t>
      </w:r>
      <w:r w:rsidRPr="00C94BED">
        <w:rPr>
          <w:rFonts w:ascii="Calibri" w:eastAsia="宋体" w:hAnsi="Calibri" w:cs="宋体"/>
          <w:szCs w:val="21"/>
        </w:rPr>
        <w:t>4%</w:t>
      </w:r>
      <w:r w:rsidRPr="00C94BED">
        <w:rPr>
          <w:rFonts w:ascii="Calibri" w:eastAsia="宋体" w:hAnsi="Calibri" w:cs="宋体"/>
          <w:szCs w:val="21"/>
        </w:rPr>
        <w:t>，与第二季度持平。台积电已表示，将增加向汽车行业的交付量。汽车行业一直是受供应短缺影响最严重的行业之一。</w:t>
      </w:r>
      <w:r w:rsidRPr="00C94BED">
        <w:rPr>
          <w:rFonts w:ascii="Calibri" w:eastAsia="宋体" w:hAnsi="Calibri" w:cs="宋体" w:hint="eastAsia"/>
          <w:szCs w:val="21"/>
        </w:rPr>
        <w:t>从台积电</w:t>
      </w:r>
      <w:r w:rsidR="002A5F53">
        <w:rPr>
          <w:rFonts w:ascii="Calibri" w:eastAsia="宋体" w:hAnsi="Calibri" w:cs="宋体" w:hint="eastAsia"/>
          <w:szCs w:val="21"/>
        </w:rPr>
        <w:t>三</w:t>
      </w:r>
      <w:r w:rsidRPr="00C94BED">
        <w:rPr>
          <w:rFonts w:ascii="Calibri" w:eastAsia="宋体" w:hAnsi="Calibri" w:cs="宋体"/>
          <w:szCs w:val="21"/>
        </w:rPr>
        <w:t>季度的汽车芯片销售占比看，并没有达到同比增长</w:t>
      </w:r>
      <w:r w:rsidRPr="00C94BED">
        <w:rPr>
          <w:rFonts w:ascii="Calibri" w:eastAsia="宋体" w:hAnsi="Calibri" w:cs="宋体"/>
          <w:szCs w:val="21"/>
        </w:rPr>
        <w:t>60%</w:t>
      </w:r>
      <w:r w:rsidRPr="00C94BED">
        <w:rPr>
          <w:rFonts w:ascii="Calibri" w:eastAsia="宋体" w:hAnsi="Calibri" w:cs="宋体"/>
          <w:szCs w:val="21"/>
        </w:rPr>
        <w:t>的预期。分析看，上半年增长</w:t>
      </w:r>
      <w:r w:rsidRPr="00C94BED">
        <w:rPr>
          <w:rFonts w:ascii="Calibri" w:eastAsia="宋体" w:hAnsi="Calibri" w:cs="宋体"/>
          <w:szCs w:val="21"/>
        </w:rPr>
        <w:t>30%</w:t>
      </w:r>
      <w:r w:rsidRPr="00C94BED">
        <w:rPr>
          <w:rFonts w:ascii="Calibri" w:eastAsia="宋体" w:hAnsi="Calibri" w:cs="宋体"/>
          <w:szCs w:val="21"/>
        </w:rPr>
        <w:t>，全年</w:t>
      </w:r>
      <w:r w:rsidR="002A5F53">
        <w:rPr>
          <w:rFonts w:ascii="Calibri" w:eastAsia="宋体" w:hAnsi="Calibri" w:cs="宋体" w:hint="eastAsia"/>
          <w:szCs w:val="21"/>
        </w:rPr>
        <w:t>要</w:t>
      </w:r>
      <w:r w:rsidRPr="00C94BED">
        <w:rPr>
          <w:rFonts w:ascii="Calibri" w:eastAsia="宋体" w:hAnsi="Calibri" w:cs="宋体"/>
          <w:szCs w:val="21"/>
        </w:rPr>
        <w:t>增长</w:t>
      </w:r>
      <w:r w:rsidRPr="00C94BED">
        <w:rPr>
          <w:rFonts w:ascii="Calibri" w:eastAsia="宋体" w:hAnsi="Calibri" w:cs="宋体"/>
          <w:szCs w:val="21"/>
        </w:rPr>
        <w:t>60%</w:t>
      </w:r>
      <w:r w:rsidRPr="00C94BED">
        <w:rPr>
          <w:rFonts w:ascii="Calibri" w:eastAsia="宋体" w:hAnsi="Calibri" w:cs="宋体"/>
          <w:szCs w:val="21"/>
        </w:rPr>
        <w:t>，则下半年需要增长较大，按照三季度占比与</w:t>
      </w:r>
      <w:r w:rsidR="002A5F53">
        <w:rPr>
          <w:rFonts w:ascii="Calibri" w:eastAsia="宋体" w:hAnsi="Calibri" w:cs="宋体" w:hint="eastAsia"/>
          <w:szCs w:val="21"/>
        </w:rPr>
        <w:t>二</w:t>
      </w:r>
      <w:r w:rsidRPr="00C94BED">
        <w:rPr>
          <w:rFonts w:ascii="Calibri" w:eastAsia="宋体" w:hAnsi="Calibri" w:cs="宋体"/>
          <w:szCs w:val="21"/>
        </w:rPr>
        <w:t>季度持平，则</w:t>
      </w:r>
      <w:r w:rsidR="002A5F53">
        <w:rPr>
          <w:rFonts w:ascii="Calibri" w:eastAsia="宋体" w:hAnsi="Calibri" w:cs="宋体" w:hint="eastAsia"/>
          <w:szCs w:val="21"/>
        </w:rPr>
        <w:t>三</w:t>
      </w:r>
      <w:r w:rsidRPr="00C94BED">
        <w:rPr>
          <w:rFonts w:ascii="Calibri" w:eastAsia="宋体" w:hAnsi="Calibri" w:cs="宋体"/>
          <w:szCs w:val="21"/>
        </w:rPr>
        <w:t>季度同比增长也是在</w:t>
      </w:r>
      <w:r w:rsidRPr="00C94BED">
        <w:rPr>
          <w:rFonts w:ascii="Calibri" w:eastAsia="宋体" w:hAnsi="Calibri" w:cs="宋体"/>
          <w:szCs w:val="21"/>
        </w:rPr>
        <w:t>30%</w:t>
      </w:r>
      <w:r w:rsidRPr="00C94BED">
        <w:rPr>
          <w:rFonts w:ascii="Calibri" w:eastAsia="宋体" w:hAnsi="Calibri" w:cs="宋体"/>
          <w:szCs w:val="21"/>
        </w:rPr>
        <w:t>左右，远没有达到</w:t>
      </w:r>
      <w:r w:rsidRPr="00C94BED">
        <w:rPr>
          <w:rFonts w:ascii="Calibri" w:eastAsia="宋体" w:hAnsi="Calibri" w:cs="宋体"/>
          <w:szCs w:val="21"/>
        </w:rPr>
        <w:t>60%</w:t>
      </w:r>
      <w:r w:rsidRPr="00C94BED">
        <w:rPr>
          <w:rFonts w:ascii="Calibri" w:eastAsia="宋体" w:hAnsi="Calibri" w:cs="宋体"/>
          <w:szCs w:val="21"/>
        </w:rPr>
        <w:t>的目标。</w:t>
      </w:r>
      <w:r w:rsidRPr="00C94BED">
        <w:rPr>
          <w:rFonts w:ascii="Calibri" w:eastAsia="宋体" w:hAnsi="Calibri" w:cs="宋体" w:hint="eastAsia"/>
          <w:szCs w:val="21"/>
        </w:rPr>
        <w:t>这样的话</w:t>
      </w:r>
      <w:r w:rsidR="002A5F53">
        <w:rPr>
          <w:rFonts w:ascii="Calibri" w:eastAsia="宋体" w:hAnsi="Calibri" w:cs="宋体" w:hint="eastAsia"/>
          <w:szCs w:val="21"/>
        </w:rPr>
        <w:t>四</w:t>
      </w:r>
      <w:r w:rsidRPr="00C94BED">
        <w:rPr>
          <w:rFonts w:ascii="Calibri" w:eastAsia="宋体" w:hAnsi="Calibri" w:cs="宋体"/>
          <w:szCs w:val="21"/>
        </w:rPr>
        <w:t>季度台积电的汽车芯片供给必须同比增长</w:t>
      </w:r>
      <w:r w:rsidRPr="00C94BED">
        <w:rPr>
          <w:rFonts w:ascii="Calibri" w:eastAsia="宋体" w:hAnsi="Calibri" w:cs="宋体"/>
          <w:szCs w:val="21"/>
        </w:rPr>
        <w:t>150%</w:t>
      </w:r>
      <w:r w:rsidRPr="00C94BED">
        <w:rPr>
          <w:rFonts w:ascii="Calibri" w:eastAsia="宋体" w:hAnsi="Calibri" w:cs="宋体"/>
          <w:szCs w:val="21"/>
        </w:rPr>
        <w:t>才能实现全年</w:t>
      </w:r>
      <w:r w:rsidRPr="00C94BED">
        <w:rPr>
          <w:rFonts w:ascii="Calibri" w:eastAsia="宋体" w:hAnsi="Calibri" w:cs="宋体"/>
          <w:szCs w:val="21"/>
        </w:rPr>
        <w:t>60%</w:t>
      </w:r>
      <w:r w:rsidRPr="00C94BED">
        <w:rPr>
          <w:rFonts w:ascii="Calibri" w:eastAsia="宋体" w:hAnsi="Calibri" w:cs="宋体"/>
          <w:szCs w:val="21"/>
        </w:rPr>
        <w:t>的增量贡献。</w:t>
      </w:r>
    </w:p>
    <w:p w14:paraId="08D8ADFA" w14:textId="6E77E99A" w:rsidR="007B14C9" w:rsidRPr="002009FE" w:rsidRDefault="00C94BED" w:rsidP="002A5F53">
      <w:pPr>
        <w:ind w:firstLineChars="200" w:firstLine="420"/>
        <w:rPr>
          <w:rFonts w:ascii="Calibri" w:eastAsia="宋体" w:hAnsi="Calibri" w:cs="宋体"/>
          <w:szCs w:val="21"/>
        </w:rPr>
      </w:pPr>
      <w:r w:rsidRPr="00C94BED">
        <w:rPr>
          <w:rFonts w:ascii="Calibri" w:eastAsia="宋体" w:hAnsi="Calibri" w:cs="宋体" w:hint="eastAsia"/>
          <w:szCs w:val="21"/>
        </w:rPr>
        <w:t>由于新冠疫情出现的年份有限，新冠疫情的“两个月周期”现象没有统计学上的意义，</w:t>
      </w:r>
      <w:r>
        <w:rPr>
          <w:rFonts w:ascii="Calibri" w:eastAsia="宋体" w:hAnsi="Calibri" w:cs="宋体" w:hint="eastAsia"/>
          <w:szCs w:val="21"/>
        </w:rPr>
        <w:t>但</w:t>
      </w:r>
      <w:r w:rsidRPr="00C94BED">
        <w:rPr>
          <w:rFonts w:ascii="Calibri" w:eastAsia="宋体" w:hAnsi="Calibri" w:cs="宋体" w:hint="eastAsia"/>
          <w:szCs w:val="21"/>
        </w:rPr>
        <w:t>目前从马来西亚的疫情走势看，也是符合两个月的周期规律的。从</w:t>
      </w:r>
      <w:r w:rsidRPr="00C94BED">
        <w:rPr>
          <w:rFonts w:ascii="Calibri" w:eastAsia="宋体" w:hAnsi="Calibri" w:cs="宋体"/>
          <w:szCs w:val="21"/>
        </w:rPr>
        <w:t>7</w:t>
      </w:r>
      <w:r w:rsidRPr="00C94BED">
        <w:rPr>
          <w:rFonts w:ascii="Calibri" w:eastAsia="宋体" w:hAnsi="Calibri" w:cs="宋体"/>
          <w:szCs w:val="21"/>
        </w:rPr>
        <w:t>月开始的马来西亚疫情在</w:t>
      </w:r>
      <w:r w:rsidRPr="00C94BED">
        <w:rPr>
          <w:rFonts w:ascii="Calibri" w:eastAsia="宋体" w:hAnsi="Calibri" w:cs="宋体"/>
          <w:szCs w:val="21"/>
        </w:rPr>
        <w:t>8</w:t>
      </w:r>
      <w:r w:rsidRPr="00C94BED">
        <w:rPr>
          <w:rFonts w:ascii="Calibri" w:eastAsia="宋体" w:hAnsi="Calibri" w:cs="宋体"/>
          <w:szCs w:val="21"/>
        </w:rPr>
        <w:t>月达到峰值，</w:t>
      </w:r>
      <w:r w:rsidRPr="00C94BED">
        <w:rPr>
          <w:rFonts w:ascii="Calibri" w:eastAsia="宋体" w:hAnsi="Calibri" w:cs="宋体"/>
          <w:szCs w:val="21"/>
        </w:rPr>
        <w:t>9</w:t>
      </w:r>
      <w:r w:rsidRPr="00C94BED">
        <w:rPr>
          <w:rFonts w:ascii="Calibri" w:eastAsia="宋体" w:hAnsi="Calibri" w:cs="宋体"/>
          <w:szCs w:val="21"/>
        </w:rPr>
        <w:t>月逐步缓解，</w:t>
      </w:r>
      <w:r w:rsidRPr="00C94BED">
        <w:rPr>
          <w:rFonts w:ascii="Calibri" w:eastAsia="宋体" w:hAnsi="Calibri" w:cs="宋体"/>
          <w:szCs w:val="21"/>
        </w:rPr>
        <w:t>10</w:t>
      </w:r>
      <w:r w:rsidRPr="00C94BED">
        <w:rPr>
          <w:rFonts w:ascii="Calibri" w:eastAsia="宋体" w:hAnsi="Calibri" w:cs="宋体"/>
          <w:szCs w:val="21"/>
        </w:rPr>
        <w:t>月处于日均</w:t>
      </w:r>
      <w:r w:rsidRPr="00C94BED">
        <w:rPr>
          <w:rFonts w:ascii="Calibri" w:eastAsia="宋体" w:hAnsi="Calibri" w:cs="宋体"/>
          <w:szCs w:val="21"/>
        </w:rPr>
        <w:t>8000</w:t>
      </w:r>
      <w:r w:rsidRPr="00C94BED">
        <w:rPr>
          <w:rFonts w:ascii="Calibri" w:eastAsia="宋体" w:hAnsi="Calibri" w:cs="宋体"/>
          <w:szCs w:val="21"/>
        </w:rPr>
        <w:t>的中低位水平，</w:t>
      </w:r>
      <w:r w:rsidRPr="00C94BED">
        <w:rPr>
          <w:rFonts w:ascii="Calibri" w:eastAsia="宋体" w:hAnsi="Calibri" w:cs="宋体"/>
          <w:szCs w:val="21"/>
        </w:rPr>
        <w:t>10</w:t>
      </w:r>
      <w:r w:rsidRPr="00C94BED">
        <w:rPr>
          <w:rFonts w:ascii="Calibri" w:eastAsia="宋体" w:hAnsi="Calibri" w:cs="宋体"/>
          <w:szCs w:val="21"/>
        </w:rPr>
        <w:t>月的马来西亚疫情改善良好。</w:t>
      </w:r>
      <w:r w:rsidRPr="00C94BED">
        <w:rPr>
          <w:rFonts w:ascii="Calibri" w:eastAsia="宋体" w:hAnsi="Calibri" w:cs="宋体" w:hint="eastAsia"/>
          <w:szCs w:val="21"/>
        </w:rPr>
        <w:t>近几个月来，几家汽车制造商和半导体公司纷纷表示，马来西亚因疫情造成的供应中断正在冲击着供应链。</w:t>
      </w:r>
      <w:r>
        <w:rPr>
          <w:rFonts w:ascii="Calibri" w:eastAsia="宋体" w:hAnsi="Calibri" w:cs="宋体" w:hint="eastAsia"/>
          <w:szCs w:val="21"/>
        </w:rPr>
        <w:t>未来芯片供给将逐步缓解。</w:t>
      </w:r>
    </w:p>
    <w:p w14:paraId="7B96F282" w14:textId="77777777" w:rsidR="007B14C9" w:rsidRPr="002009FE" w:rsidRDefault="007B14C9" w:rsidP="007B14C9">
      <w:pPr>
        <w:ind w:firstLineChars="270" w:firstLine="567"/>
        <w:rPr>
          <w:rFonts w:ascii="Calibri" w:eastAsia="宋体" w:hAnsi="Calibri" w:cs="Times New Roman"/>
          <w:szCs w:val="21"/>
        </w:rPr>
      </w:pPr>
    </w:p>
    <w:p w14:paraId="68E26940" w14:textId="19711B4C" w:rsidR="007B14C9" w:rsidRPr="002009FE" w:rsidRDefault="006451EF" w:rsidP="006451EF">
      <w:pPr>
        <w:outlineLvl w:val="1"/>
        <w:rPr>
          <w:rFonts w:ascii="黑体" w:eastAsia="黑体" w:hAnsi="黑体" w:cs="Times New Roman"/>
          <w:bCs/>
          <w:sz w:val="24"/>
        </w:rPr>
      </w:pPr>
      <w:r>
        <w:rPr>
          <w:rFonts w:ascii="黑体" w:eastAsia="黑体" w:hAnsi="黑体" w:cs="Times New Roman" w:hint="eastAsia"/>
          <w:bCs/>
          <w:sz w:val="24"/>
        </w:rPr>
        <w:t>4</w:t>
      </w:r>
      <w:r>
        <w:rPr>
          <w:rFonts w:ascii="黑体" w:eastAsia="黑体" w:hAnsi="黑体" w:cs="Times New Roman"/>
          <w:bCs/>
          <w:sz w:val="24"/>
        </w:rPr>
        <w:t>.</w:t>
      </w:r>
      <w:r w:rsidR="00C94BED" w:rsidRPr="00C94BED">
        <w:rPr>
          <w:rFonts w:ascii="黑体" w:eastAsia="黑体" w:hAnsi="黑体" w:cs="Times New Roman" w:hint="eastAsia"/>
          <w:bCs/>
          <w:sz w:val="24"/>
        </w:rPr>
        <w:t>公安部前三季度上牌和驾驶员数据分析</w:t>
      </w:r>
    </w:p>
    <w:p w14:paraId="6A864192" w14:textId="77777777" w:rsidR="008013BF" w:rsidRDefault="00C94BED" w:rsidP="008013BF">
      <w:pPr>
        <w:ind w:firstLineChars="200" w:firstLine="420"/>
        <w:rPr>
          <w:rFonts w:asciiTheme="minorEastAsia" w:hAnsiTheme="minorEastAsia" w:cs="黑体"/>
          <w:bCs/>
          <w:szCs w:val="21"/>
        </w:rPr>
      </w:pPr>
      <w:r w:rsidRPr="00C94BED">
        <w:rPr>
          <w:rFonts w:asciiTheme="minorEastAsia" w:hAnsiTheme="minorEastAsia" w:cs="黑体" w:hint="eastAsia"/>
          <w:bCs/>
          <w:szCs w:val="21"/>
        </w:rPr>
        <w:t>据公安部统计，截至</w:t>
      </w:r>
      <w:r w:rsidRPr="00C94BED">
        <w:rPr>
          <w:rFonts w:asciiTheme="minorEastAsia" w:hAnsiTheme="minorEastAsia" w:cs="黑体"/>
          <w:bCs/>
          <w:szCs w:val="21"/>
        </w:rPr>
        <w:t>2021年9月，全国机动车保有量达3.90亿辆，其中汽车2.97亿辆；机动车驾驶人4.76亿人，其中汽车驾驶人4.39亿人。2021年三季度全国新注册登记机动车883万辆，新领证驾驶人972万人。从中感受到今年的车市增长总体较好，汽车上牌较2020年上半年增长较好，但三季度</w:t>
      </w:r>
      <w:r w:rsidR="008013BF">
        <w:rPr>
          <w:rFonts w:asciiTheme="minorEastAsia" w:hAnsiTheme="minorEastAsia" w:cs="黑体" w:hint="eastAsia"/>
          <w:bCs/>
          <w:szCs w:val="21"/>
        </w:rPr>
        <w:t>落差</w:t>
      </w:r>
      <w:r w:rsidRPr="00C94BED">
        <w:rPr>
          <w:rFonts w:asciiTheme="minorEastAsia" w:hAnsiTheme="minorEastAsia" w:cs="黑体"/>
          <w:bCs/>
          <w:szCs w:val="21"/>
        </w:rPr>
        <w:t>较大。2021年新能源车表现很强。今年前三季度新驾驶员数量仅有1390万人，增长不快，这对车市的长期发展带来隐忧，因此车市增长主要靠消费升级，而汽车消费普及遭遇瓶颈。因此依托新能源车的高速发展，扩大微型电动车</w:t>
      </w:r>
      <w:r w:rsidRPr="00C94BED">
        <w:rPr>
          <w:rFonts w:asciiTheme="minorEastAsia" w:hAnsiTheme="minorEastAsia" w:cs="黑体" w:hint="eastAsia"/>
          <w:bCs/>
          <w:szCs w:val="21"/>
        </w:rPr>
        <w:t>驾驶员数量，推动</w:t>
      </w:r>
      <w:r w:rsidRPr="00C94BED">
        <w:rPr>
          <w:rFonts w:asciiTheme="minorEastAsia" w:hAnsiTheme="minorEastAsia" w:cs="黑体"/>
          <w:bCs/>
          <w:szCs w:val="21"/>
        </w:rPr>
        <w:t>C5驾照实施，让车市有更大的人口支撑是当务之急。</w:t>
      </w:r>
    </w:p>
    <w:p w14:paraId="2DEDD919" w14:textId="77777777" w:rsidR="008013BF" w:rsidRDefault="00C94BED" w:rsidP="008013BF">
      <w:pPr>
        <w:ind w:firstLineChars="200" w:firstLine="420"/>
        <w:rPr>
          <w:rFonts w:asciiTheme="minorEastAsia" w:hAnsiTheme="minorEastAsia" w:cs="黑体"/>
          <w:bCs/>
          <w:szCs w:val="21"/>
        </w:rPr>
      </w:pPr>
      <w:r w:rsidRPr="00C94BED">
        <w:rPr>
          <w:rFonts w:asciiTheme="minorEastAsia" w:hAnsiTheme="minorEastAsia" w:cs="黑体" w:hint="eastAsia"/>
          <w:bCs/>
          <w:szCs w:val="21"/>
        </w:rPr>
        <w:t>从驾驶人年龄看，</w:t>
      </w:r>
      <w:r w:rsidRPr="00C94BED">
        <w:rPr>
          <w:rFonts w:asciiTheme="minorEastAsia" w:hAnsiTheme="minorEastAsia" w:cs="黑体"/>
          <w:bCs/>
          <w:szCs w:val="21"/>
        </w:rPr>
        <w:t>26至50岁的驾驶人3.37亿人，占70.85%；51至60岁的驾驶人6699万人，占14.07%；60岁以上的驾驶人1714万人，占3.60%。新司机多新购车多，现在的新司机总量减速，也导致新车的首购群体减速，对自主品牌发展带来巨大的压力。而26-50岁的增长放缓，前三季度仅有1000万增量，50岁以上老司机增加797万人，司机中老年化趋势较明显。</w:t>
      </w:r>
    </w:p>
    <w:p w14:paraId="50EC9830" w14:textId="29090117" w:rsidR="007B14C9" w:rsidRPr="002009FE" w:rsidRDefault="00C94BED" w:rsidP="008013BF">
      <w:pPr>
        <w:ind w:firstLineChars="200" w:firstLine="420"/>
        <w:rPr>
          <w:rFonts w:asciiTheme="minorEastAsia" w:hAnsiTheme="minorEastAsia" w:cs="黑体" w:hint="eastAsia"/>
          <w:bCs/>
          <w:szCs w:val="21"/>
        </w:rPr>
      </w:pPr>
      <w:r w:rsidRPr="00C94BED">
        <w:rPr>
          <w:rFonts w:asciiTheme="minorEastAsia" w:hAnsiTheme="minorEastAsia" w:cs="黑体" w:hint="eastAsia"/>
          <w:bCs/>
          <w:szCs w:val="21"/>
        </w:rPr>
        <w:t>未来应该加大新司机的队伍扩张，随着智能化和自动驾驶的提升，司机的技能要求逐步相对宽松，增大中年和老年群体的新司机数量还是很有意义的。这样也能适应中国老年化的趋势，让更多人享受有车的美好生活。</w:t>
      </w:r>
    </w:p>
    <w:p w14:paraId="1F973E69" w14:textId="77777777" w:rsidR="007B14C9" w:rsidRPr="002009FE" w:rsidRDefault="007B14C9" w:rsidP="007B14C9">
      <w:pPr>
        <w:rPr>
          <w:rFonts w:ascii="黑体" w:eastAsia="黑体" w:hAnsi="黑体" w:cs="黑体"/>
          <w:bCs/>
          <w:sz w:val="24"/>
        </w:rPr>
      </w:pPr>
    </w:p>
    <w:p w14:paraId="0841F4E0" w14:textId="1ED3121A" w:rsidR="007B14C9" w:rsidRPr="002009FE" w:rsidRDefault="006451EF" w:rsidP="006451EF">
      <w:pPr>
        <w:outlineLvl w:val="1"/>
        <w:rPr>
          <w:rFonts w:ascii="黑体" w:eastAsia="黑体" w:hAnsi="黑体" w:cs="黑体"/>
          <w:bCs/>
          <w:sz w:val="24"/>
        </w:rPr>
      </w:pPr>
      <w:r>
        <w:rPr>
          <w:rFonts w:ascii="黑体" w:eastAsia="黑体" w:hAnsi="黑体" w:cs="黑体"/>
          <w:bCs/>
          <w:sz w:val="24"/>
        </w:rPr>
        <w:t>5.</w:t>
      </w:r>
      <w:r w:rsidR="00C94BED" w:rsidRPr="00C94BED">
        <w:rPr>
          <w:rFonts w:ascii="黑体" w:eastAsia="黑体" w:hAnsi="黑体" w:cs="黑体"/>
          <w:bCs/>
          <w:sz w:val="24"/>
        </w:rPr>
        <w:t>2021年9月</w:t>
      </w:r>
      <w:r w:rsidR="00C94BED">
        <w:rPr>
          <w:rFonts w:ascii="黑体" w:eastAsia="黑体" w:hAnsi="黑体" w:cs="黑体" w:hint="eastAsia"/>
          <w:bCs/>
          <w:sz w:val="24"/>
        </w:rPr>
        <w:t>全国</w:t>
      </w:r>
      <w:r w:rsidR="00C94BED" w:rsidRPr="00C94BED">
        <w:rPr>
          <w:rFonts w:ascii="黑体" w:eastAsia="黑体" w:hAnsi="黑体" w:cs="黑体"/>
          <w:bCs/>
          <w:sz w:val="24"/>
        </w:rPr>
        <w:t>皮卡市场分析</w:t>
      </w:r>
    </w:p>
    <w:p w14:paraId="30D5E6A0" w14:textId="74C63AD0" w:rsidR="00C94BED" w:rsidRPr="00C94BED" w:rsidRDefault="00C94BED" w:rsidP="00C94BED">
      <w:pPr>
        <w:ind w:firstLineChars="177" w:firstLine="372"/>
        <w:rPr>
          <w:rFonts w:asciiTheme="minorEastAsia" w:hAnsiTheme="minorEastAsia" w:cs="黑体"/>
          <w:bCs/>
          <w:szCs w:val="21"/>
        </w:rPr>
      </w:pPr>
      <w:r w:rsidRPr="00C94BED">
        <w:rPr>
          <w:rFonts w:asciiTheme="minorEastAsia" w:hAnsiTheme="minorEastAsia" w:cs="黑体" w:hint="eastAsia"/>
          <w:bCs/>
          <w:szCs w:val="21"/>
        </w:rPr>
        <w:t>根据乘联会数据，</w:t>
      </w:r>
      <w:r w:rsidRPr="00C94BED">
        <w:rPr>
          <w:rFonts w:asciiTheme="minorEastAsia" w:hAnsiTheme="minorEastAsia" w:cs="黑体"/>
          <w:bCs/>
          <w:szCs w:val="21"/>
        </w:rPr>
        <w:t>2021年9月份皮卡市场销售4.8</w:t>
      </w:r>
      <w:r w:rsidR="006451EF">
        <w:rPr>
          <w:rFonts w:asciiTheme="minorEastAsia" w:hAnsiTheme="minorEastAsia" w:cs="黑体"/>
          <w:bCs/>
          <w:szCs w:val="21"/>
        </w:rPr>
        <w:t>万辆</w:t>
      </w:r>
      <w:r w:rsidRPr="00C94BED">
        <w:rPr>
          <w:rFonts w:asciiTheme="minorEastAsia" w:hAnsiTheme="minorEastAsia" w:cs="黑体"/>
          <w:bCs/>
          <w:szCs w:val="21"/>
        </w:rPr>
        <w:t>，同比增长0.1%，环比增长39%。由于疫情后回暖较强导致今年9月同比2019年增长26%。</w:t>
      </w:r>
    </w:p>
    <w:p w14:paraId="18FD4C76" w14:textId="73CB270F" w:rsidR="00C94BED" w:rsidRPr="00C94BED" w:rsidRDefault="00C94BED" w:rsidP="00C94BED">
      <w:pPr>
        <w:ind w:firstLineChars="177" w:firstLine="372"/>
        <w:rPr>
          <w:rFonts w:asciiTheme="minorEastAsia" w:hAnsiTheme="minorEastAsia" w:cs="黑体" w:hint="eastAsia"/>
          <w:bCs/>
          <w:szCs w:val="21"/>
        </w:rPr>
      </w:pPr>
      <w:r w:rsidRPr="00C94BED">
        <w:rPr>
          <w:rFonts w:asciiTheme="minorEastAsia" w:hAnsiTheme="minorEastAsia" w:cs="黑体" w:hint="eastAsia"/>
          <w:bCs/>
          <w:szCs w:val="21"/>
        </w:rPr>
        <w:t>皮卡市场保持较强活力。</w:t>
      </w:r>
      <w:r w:rsidRPr="00C94BED">
        <w:rPr>
          <w:rFonts w:asciiTheme="minorEastAsia" w:hAnsiTheme="minorEastAsia" w:cs="黑体"/>
          <w:bCs/>
          <w:szCs w:val="21"/>
        </w:rPr>
        <w:t>2018年皮卡销量增长10%。2019年皮卡累计销量44</w:t>
      </w:r>
      <w:r w:rsidR="006451EF">
        <w:rPr>
          <w:rFonts w:asciiTheme="minorEastAsia" w:hAnsiTheme="minorEastAsia" w:cs="黑体"/>
          <w:bCs/>
          <w:szCs w:val="21"/>
        </w:rPr>
        <w:t>万辆</w:t>
      </w:r>
      <w:r w:rsidRPr="00C94BED">
        <w:rPr>
          <w:rFonts w:asciiTheme="minorEastAsia" w:hAnsiTheme="minorEastAsia" w:cs="黑体"/>
          <w:bCs/>
          <w:szCs w:val="21"/>
        </w:rPr>
        <w:t>，累积同比下降3%。但2020年达到48</w:t>
      </w:r>
      <w:r w:rsidR="006451EF">
        <w:rPr>
          <w:rFonts w:asciiTheme="minorEastAsia" w:hAnsiTheme="minorEastAsia" w:cs="黑体"/>
          <w:bCs/>
          <w:szCs w:val="21"/>
        </w:rPr>
        <w:t>万辆</w:t>
      </w:r>
      <w:r w:rsidRPr="00C94BED">
        <w:rPr>
          <w:rFonts w:asciiTheme="minorEastAsia" w:hAnsiTheme="minorEastAsia" w:cs="黑体"/>
          <w:bCs/>
          <w:szCs w:val="21"/>
        </w:rPr>
        <w:t>，同比增长9%。今年1-9月皮卡销量39</w:t>
      </w:r>
      <w:r w:rsidR="006451EF">
        <w:rPr>
          <w:rFonts w:asciiTheme="minorEastAsia" w:hAnsiTheme="minorEastAsia" w:cs="黑体"/>
          <w:bCs/>
          <w:szCs w:val="21"/>
        </w:rPr>
        <w:t>万辆</w:t>
      </w:r>
      <w:r w:rsidRPr="00C94BED">
        <w:rPr>
          <w:rFonts w:asciiTheme="minorEastAsia" w:hAnsiTheme="minorEastAsia" w:cs="黑体"/>
          <w:bCs/>
          <w:szCs w:val="21"/>
        </w:rPr>
        <w:t>，同比增长19%。今年轻卡受到治理超载的刺激增量逐步进入尾声，虽然2021年9月的皮卡0增长，但相对于传统轻卡的表现是很强的。</w:t>
      </w:r>
    </w:p>
    <w:p w14:paraId="486B1785" w14:textId="62AB8A3D" w:rsidR="00C94BED" w:rsidRPr="00C94BED" w:rsidRDefault="00C94BED" w:rsidP="00C94BED">
      <w:pPr>
        <w:ind w:firstLineChars="177" w:firstLine="372"/>
        <w:rPr>
          <w:rFonts w:asciiTheme="minorEastAsia" w:hAnsiTheme="minorEastAsia" w:cs="黑体"/>
          <w:bCs/>
          <w:szCs w:val="21"/>
        </w:rPr>
      </w:pPr>
      <w:r w:rsidRPr="00C94BED">
        <w:rPr>
          <w:rFonts w:asciiTheme="minorEastAsia" w:hAnsiTheme="minorEastAsia" w:cs="黑体" w:hint="eastAsia"/>
          <w:bCs/>
          <w:szCs w:val="21"/>
        </w:rPr>
        <w:t>随着皮卡文化的逐步成长，乘用化皮卡新增长点仍保持强势，长城炮</w:t>
      </w:r>
      <w:r w:rsidRPr="00C94BED">
        <w:rPr>
          <w:rFonts w:asciiTheme="minorEastAsia" w:hAnsiTheme="minorEastAsia" w:cs="黑体"/>
          <w:bCs/>
          <w:szCs w:val="21"/>
        </w:rPr>
        <w:t>9月仍保持近</w:t>
      </w:r>
      <w:r w:rsidR="006451EF">
        <w:rPr>
          <w:rFonts w:asciiTheme="minorEastAsia" w:hAnsiTheme="minorEastAsia" w:cs="黑体"/>
          <w:bCs/>
          <w:szCs w:val="21"/>
        </w:rPr>
        <w:t>万辆</w:t>
      </w:r>
      <w:r w:rsidRPr="00C94BED">
        <w:rPr>
          <w:rFonts w:asciiTheme="minorEastAsia" w:hAnsiTheme="minorEastAsia" w:cs="黑体"/>
          <w:bCs/>
          <w:szCs w:val="21"/>
        </w:rPr>
        <w:t>销量，江铃皮卡、江淮皮卡和上汽大通皮卡的商用市场表现较强，尤其是本月江淮皮卡表现优秀，加之五菱征途等新品增量，皮卡产品呈现超强于商用车的</w:t>
      </w:r>
      <w:r w:rsidR="008013BF">
        <w:rPr>
          <w:rFonts w:asciiTheme="minorEastAsia" w:hAnsiTheme="minorEastAsia" w:cs="黑体" w:hint="eastAsia"/>
          <w:bCs/>
          <w:szCs w:val="21"/>
        </w:rPr>
        <w:t>市场</w:t>
      </w:r>
      <w:r w:rsidRPr="00C94BED">
        <w:rPr>
          <w:rFonts w:asciiTheme="minorEastAsia" w:hAnsiTheme="minorEastAsia" w:cs="黑体"/>
          <w:bCs/>
          <w:szCs w:val="21"/>
        </w:rPr>
        <w:t>良好表现。</w:t>
      </w:r>
    </w:p>
    <w:p w14:paraId="4F721C30" w14:textId="4DE15FD9" w:rsidR="00C94BED" w:rsidRPr="00C94BED" w:rsidRDefault="00C94BED" w:rsidP="00C94BED">
      <w:pPr>
        <w:ind w:firstLineChars="177" w:firstLine="372"/>
        <w:rPr>
          <w:rFonts w:asciiTheme="minorEastAsia" w:hAnsiTheme="minorEastAsia" w:cs="黑体"/>
          <w:bCs/>
          <w:szCs w:val="21"/>
        </w:rPr>
      </w:pPr>
      <w:r w:rsidRPr="00C94BED">
        <w:rPr>
          <w:rFonts w:asciiTheme="minorEastAsia" w:hAnsiTheme="minorEastAsia" w:cs="黑体" w:hint="eastAsia"/>
          <w:bCs/>
          <w:szCs w:val="21"/>
        </w:rPr>
        <w:t>皮卡今年</w:t>
      </w:r>
      <w:r w:rsidRPr="00C94BED">
        <w:rPr>
          <w:rFonts w:asciiTheme="minorEastAsia" w:hAnsiTheme="minorEastAsia" w:cs="黑体"/>
          <w:bCs/>
          <w:szCs w:val="21"/>
        </w:rPr>
        <w:t>1-9月增长18%也是强于总体乘用车和卡车市场的较好表现。近几年皮卡成为乘商结合的消费新热点，持续表现较强，近期皮卡车企努力跟上时代潮流，龙头主力车企长城皮卡受到芯片短缺</w:t>
      </w:r>
      <w:r w:rsidR="003773B7">
        <w:rPr>
          <w:rFonts w:asciiTheme="minorEastAsia" w:hAnsiTheme="minorEastAsia" w:cs="黑体" w:hint="eastAsia"/>
          <w:bCs/>
          <w:szCs w:val="21"/>
        </w:rPr>
        <w:t>影响</w:t>
      </w:r>
      <w:r w:rsidRPr="00C94BED">
        <w:rPr>
          <w:rFonts w:asciiTheme="minorEastAsia" w:hAnsiTheme="minorEastAsia" w:cs="黑体"/>
          <w:bCs/>
          <w:szCs w:val="21"/>
        </w:rPr>
        <w:t>提升速度放缓，江铃汽车、上汽大通、江淮汽车表现很好，上汽通用五菱等新进入车企强势低价布局并占据二线</w:t>
      </w:r>
      <w:r w:rsidR="003773B7">
        <w:rPr>
          <w:rFonts w:asciiTheme="minorEastAsia" w:hAnsiTheme="minorEastAsia" w:cs="黑体" w:hint="eastAsia"/>
          <w:bCs/>
          <w:szCs w:val="21"/>
        </w:rPr>
        <w:t>市场</w:t>
      </w:r>
      <w:r w:rsidRPr="00C94BED">
        <w:rPr>
          <w:rFonts w:asciiTheme="minorEastAsia" w:hAnsiTheme="minorEastAsia" w:cs="黑体"/>
          <w:bCs/>
          <w:szCs w:val="21"/>
        </w:rPr>
        <w:t>主力销量地位，部分传统皮卡企业面临巨大的增长压力。</w:t>
      </w:r>
    </w:p>
    <w:p w14:paraId="655BE7BA" w14:textId="0A992EC2" w:rsidR="007B14C9" w:rsidRPr="00C94BED" w:rsidRDefault="00C94BED" w:rsidP="00C94BED">
      <w:pPr>
        <w:ind w:firstLineChars="177" w:firstLine="372"/>
        <w:rPr>
          <w:rFonts w:asciiTheme="minorEastAsia" w:hAnsiTheme="minorEastAsia" w:cs="黑体"/>
          <w:bCs/>
          <w:szCs w:val="21"/>
        </w:rPr>
      </w:pPr>
      <w:r w:rsidRPr="00C94BED">
        <w:rPr>
          <w:rFonts w:asciiTheme="minorEastAsia" w:hAnsiTheme="minorEastAsia" w:cs="黑体" w:hint="eastAsia"/>
          <w:bCs/>
          <w:szCs w:val="21"/>
        </w:rPr>
        <w:t>由于疫情影响的持续不确定</w:t>
      </w:r>
      <w:r w:rsidR="003773B7">
        <w:rPr>
          <w:rFonts w:asciiTheme="minorEastAsia" w:hAnsiTheme="minorEastAsia" w:cs="黑体" w:hint="eastAsia"/>
          <w:bCs/>
          <w:szCs w:val="21"/>
        </w:rPr>
        <w:t>性</w:t>
      </w:r>
      <w:r w:rsidRPr="00C94BED">
        <w:rPr>
          <w:rFonts w:asciiTheme="minorEastAsia" w:hAnsiTheme="minorEastAsia" w:cs="黑体" w:hint="eastAsia"/>
          <w:bCs/>
          <w:szCs w:val="21"/>
        </w:rPr>
        <w:t>，加之房地产调整带来的工程类需求低迷，未来一段时间皮卡市场的增长压力较大，但皮卡仍有强于总体商用车的良好表现。首先，近期国内局部疫情后的需求反弹为秋季市场的持续恢复带来增量。其次，皮卡的消费文化逐步兴起，各</w:t>
      </w:r>
      <w:r w:rsidR="002A5F53">
        <w:rPr>
          <w:rFonts w:asciiTheme="minorEastAsia" w:hAnsiTheme="minorEastAsia" w:cs="黑体" w:hint="eastAsia"/>
          <w:bCs/>
          <w:szCs w:val="21"/>
        </w:rPr>
        <w:t>厂商</w:t>
      </w:r>
      <w:r w:rsidRPr="00C94BED">
        <w:rPr>
          <w:rFonts w:asciiTheme="minorEastAsia" w:hAnsiTheme="minorEastAsia" w:cs="黑体" w:hint="eastAsia"/>
          <w:bCs/>
          <w:szCs w:val="21"/>
        </w:rPr>
        <w:t>努力提升皮卡消费的效果也会体现。而皮卡市场受益于乘用化的市场扩张效应也将进一步显现。</w:t>
      </w:r>
    </w:p>
    <w:p w14:paraId="138F4185" w14:textId="77777777" w:rsidR="007B14C9" w:rsidRPr="00066AF4" w:rsidRDefault="007B14C9" w:rsidP="007B14C9">
      <w:pPr>
        <w:rPr>
          <w:rFonts w:asciiTheme="minorEastAsia" w:hAnsiTheme="minorEastAsia" w:cs="黑体"/>
          <w:bCs/>
          <w:szCs w:val="21"/>
        </w:rPr>
      </w:pPr>
    </w:p>
    <w:p w14:paraId="79D149BA" w14:textId="77777777" w:rsidR="007B14C9" w:rsidRPr="00044A32" w:rsidRDefault="007B14C9" w:rsidP="007B14C9">
      <w:pPr>
        <w:outlineLvl w:val="0"/>
        <w:rPr>
          <w:b/>
        </w:rPr>
      </w:pPr>
      <w:r w:rsidRPr="00044A32">
        <w:rPr>
          <w:rFonts w:hint="eastAsia"/>
          <w:b/>
        </w:rPr>
        <w:t>二、</w:t>
      </w:r>
      <w:r w:rsidRPr="00044A32">
        <w:rPr>
          <w:rFonts w:cs="宋体" w:hint="eastAsia"/>
          <w:b/>
          <w:bCs/>
        </w:rPr>
        <w:t>本周上市新车</w:t>
      </w:r>
    </w:p>
    <w:p w14:paraId="72968C82" w14:textId="77777777" w:rsidR="00EB4406" w:rsidRPr="00CC71EF" w:rsidRDefault="00EB4406" w:rsidP="007B14C9">
      <w:pPr>
        <w:pStyle w:val="a8"/>
        <w:numPr>
          <w:ilvl w:val="0"/>
          <w:numId w:val="6"/>
        </w:numPr>
        <w:ind w:firstLineChars="0"/>
        <w:outlineLvl w:val="1"/>
        <w:rPr>
          <w:b/>
        </w:rPr>
      </w:pPr>
      <w:r w:rsidRPr="00CC71EF">
        <w:rPr>
          <w:b/>
        </w:rPr>
        <w:t>吉利博越X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B4406" w:rsidRPr="00CD7D77" w14:paraId="72F76FD6" w14:textId="77777777" w:rsidTr="003A5DDC">
        <w:trPr>
          <w:tblCellSpacing w:w="15" w:type="dxa"/>
        </w:trPr>
        <w:tc>
          <w:tcPr>
            <w:tcW w:w="0" w:type="auto"/>
            <w:tcBorders>
              <w:top w:val="nil"/>
              <w:left w:val="nil"/>
              <w:bottom w:val="nil"/>
              <w:right w:val="nil"/>
            </w:tcBorders>
            <w:hideMark/>
          </w:tcPr>
          <w:p w14:paraId="149941B4" w14:textId="77777777" w:rsidR="00EB4406" w:rsidRPr="00CD7D77" w:rsidRDefault="00EB4406" w:rsidP="003A5DDC">
            <w:pPr>
              <w:widowControl/>
              <w:jc w:val="left"/>
              <w:rPr>
                <w:rFonts w:ascii="宋体" w:eastAsia="宋体" w:hAnsi="宋体" w:cs="宋体"/>
                <w:kern w:val="0"/>
                <w:sz w:val="24"/>
              </w:rPr>
            </w:pPr>
          </w:p>
        </w:tc>
        <w:tc>
          <w:tcPr>
            <w:tcW w:w="0" w:type="auto"/>
            <w:tcBorders>
              <w:top w:val="nil"/>
              <w:left w:val="nil"/>
              <w:bottom w:val="nil"/>
              <w:right w:val="nil"/>
            </w:tcBorders>
            <w:hideMark/>
          </w:tcPr>
          <w:p w14:paraId="567A4E36" w14:textId="77777777" w:rsidR="00EB4406" w:rsidRPr="00CD7D77" w:rsidRDefault="00EB4406" w:rsidP="003A5DDC">
            <w:pPr>
              <w:widowControl/>
              <w:jc w:val="left"/>
              <w:rPr>
                <w:rFonts w:ascii="微软雅黑" w:eastAsia="微软雅黑" w:hAnsi="微软雅黑" w:cs="宋体"/>
                <w:color w:val="000000"/>
                <w:kern w:val="0"/>
                <w:sz w:val="27"/>
                <w:szCs w:val="27"/>
              </w:rPr>
            </w:pPr>
            <w:r w:rsidRPr="00CD7D77">
              <w:rPr>
                <w:rFonts w:ascii="微软雅黑" w:eastAsia="微软雅黑" w:hAnsi="微软雅黑" w:cs="宋体"/>
                <w:noProof/>
                <w:color w:val="000000"/>
                <w:kern w:val="0"/>
                <w:sz w:val="27"/>
                <w:szCs w:val="27"/>
              </w:rPr>
              <w:drawing>
                <wp:inline distT="0" distB="0" distL="0" distR="0" wp14:anchorId="2A99F7A7" wp14:editId="2583F906">
                  <wp:extent cx="1800000" cy="1032168"/>
                  <wp:effectExtent l="0" t="0" r="0" b="0"/>
                  <wp:docPr id="12" name="图片 12" descr="http://58.246.65.10:8231/UploadFile/2021101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1011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32168"/>
                          </a:xfrm>
                          <a:prstGeom prst="rect">
                            <a:avLst/>
                          </a:prstGeom>
                          <a:noFill/>
                          <a:ln>
                            <a:noFill/>
                          </a:ln>
                        </pic:spPr>
                      </pic:pic>
                    </a:graphicData>
                  </a:graphic>
                </wp:inline>
              </w:drawing>
            </w:r>
          </w:p>
        </w:tc>
        <w:tc>
          <w:tcPr>
            <w:tcW w:w="0" w:type="auto"/>
            <w:tcBorders>
              <w:top w:val="nil"/>
              <w:left w:val="nil"/>
              <w:bottom w:val="nil"/>
              <w:right w:val="nil"/>
            </w:tcBorders>
            <w:hideMark/>
          </w:tcPr>
          <w:p w14:paraId="2D1753D2" w14:textId="77777777" w:rsidR="00EB4406" w:rsidRPr="00CD7D77" w:rsidRDefault="00EB4406" w:rsidP="003A5DDC">
            <w:pPr>
              <w:widowControl/>
              <w:jc w:val="left"/>
              <w:rPr>
                <w:rFonts w:ascii="微软雅黑" w:eastAsia="微软雅黑" w:hAnsi="微软雅黑" w:cs="宋体"/>
                <w:color w:val="000000"/>
                <w:kern w:val="0"/>
                <w:sz w:val="27"/>
                <w:szCs w:val="27"/>
              </w:rPr>
            </w:pPr>
          </w:p>
        </w:tc>
      </w:tr>
    </w:tbl>
    <w:p w14:paraId="198A48B3" w14:textId="77777777" w:rsidR="00EB4406" w:rsidRDefault="00EB4406" w:rsidP="007B14C9">
      <w:r>
        <w:t>10月10日，吉利博越X上市，新车共推4款，售价区间为11.28万-14.28万元。</w:t>
      </w:r>
    </w:p>
    <w:p w14:paraId="6913BA7D" w14:textId="77777777" w:rsidR="00EB4406" w:rsidRDefault="00EB4406" w:rsidP="007B14C9">
      <w:r>
        <w:rPr>
          <w:rFonts w:hint="eastAsia"/>
        </w:rPr>
        <w:t>外观方面，新车采用“</w:t>
      </w:r>
      <w:r>
        <w:t>X”型中网格栅、黑化套件。</w:t>
      </w:r>
    </w:p>
    <w:p w14:paraId="34E647D8" w14:textId="77777777" w:rsidR="00EB4406" w:rsidRDefault="00EB4406" w:rsidP="007B14C9">
      <w:r>
        <w:rPr>
          <w:rFonts w:hint="eastAsia"/>
        </w:rPr>
        <w:t>内饰方面，新车采用</w:t>
      </w:r>
      <w:r>
        <w:t>12.3英寸全液晶仪表、12.3英寸中控屏。</w:t>
      </w:r>
    </w:p>
    <w:p w14:paraId="015EFBAB" w14:textId="77777777" w:rsidR="00EB4406" w:rsidRDefault="00EB4406" w:rsidP="007B14C9">
      <w:r>
        <w:rPr>
          <w:rFonts w:hint="eastAsia"/>
        </w:rPr>
        <w:t>配置方面，新车配备吉利银河</w:t>
      </w:r>
      <w:r>
        <w:t>OS、BOSE音响等。</w:t>
      </w:r>
    </w:p>
    <w:p w14:paraId="33E98C90" w14:textId="77777777" w:rsidR="00EB4406" w:rsidRDefault="00EB4406" w:rsidP="007B14C9">
      <w:r>
        <w:rPr>
          <w:rFonts w:hint="eastAsia"/>
        </w:rPr>
        <w:t>动力方面，新车搭载</w:t>
      </w:r>
      <w:r>
        <w:t>1.8T发动机，匹配7DCT变速箱。</w:t>
      </w:r>
    </w:p>
    <w:p w14:paraId="21C2480F" w14:textId="77777777" w:rsidR="00EB4406" w:rsidRPr="001D4AD6" w:rsidRDefault="00EB4406" w:rsidP="007B14C9">
      <w:pPr>
        <w:rPr>
          <w:rFonts w:cs="宋体"/>
          <w:b/>
          <w:bCs/>
          <w:i/>
          <w:iCs/>
        </w:rPr>
      </w:pPr>
      <w:r w:rsidRPr="007654C2">
        <w:rPr>
          <w:rFonts w:cs="宋体" w:hint="eastAsia"/>
          <w:b/>
          <w:bCs/>
          <w:i/>
          <w:iCs/>
        </w:rPr>
        <w:t>分析：。</w:t>
      </w:r>
    </w:p>
    <w:p w14:paraId="2A3BA365" w14:textId="77777777" w:rsidR="00EB4406" w:rsidRPr="007D3343" w:rsidRDefault="00EB4406" w:rsidP="007B14C9">
      <w:pPr>
        <w:pStyle w:val="a8"/>
        <w:numPr>
          <w:ilvl w:val="0"/>
          <w:numId w:val="6"/>
        </w:numPr>
        <w:ind w:firstLineChars="0"/>
        <w:outlineLvl w:val="1"/>
        <w:rPr>
          <w:b/>
        </w:rPr>
      </w:pPr>
      <w:r>
        <w:rPr>
          <w:b/>
        </w:rPr>
        <w:t>奇瑞小蚂蚁新车型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B4406" w:rsidRPr="00F40A87" w14:paraId="2E363EDD" w14:textId="77777777" w:rsidTr="003A5DDC">
        <w:trPr>
          <w:tblCellSpacing w:w="15" w:type="dxa"/>
        </w:trPr>
        <w:tc>
          <w:tcPr>
            <w:tcW w:w="0" w:type="auto"/>
            <w:tcBorders>
              <w:top w:val="nil"/>
              <w:left w:val="nil"/>
              <w:bottom w:val="nil"/>
              <w:right w:val="nil"/>
            </w:tcBorders>
            <w:hideMark/>
          </w:tcPr>
          <w:p w14:paraId="4CF82E36" w14:textId="77777777" w:rsidR="00EB4406" w:rsidRPr="00F40A87" w:rsidRDefault="00EB4406" w:rsidP="003A5DDC">
            <w:pPr>
              <w:widowControl/>
              <w:jc w:val="left"/>
              <w:rPr>
                <w:rFonts w:ascii="宋体" w:eastAsia="宋体" w:hAnsi="宋体" w:cs="宋体"/>
                <w:kern w:val="0"/>
                <w:sz w:val="24"/>
              </w:rPr>
            </w:pPr>
          </w:p>
        </w:tc>
        <w:tc>
          <w:tcPr>
            <w:tcW w:w="0" w:type="auto"/>
            <w:tcBorders>
              <w:top w:val="nil"/>
              <w:left w:val="nil"/>
              <w:bottom w:val="nil"/>
              <w:right w:val="nil"/>
            </w:tcBorders>
            <w:hideMark/>
          </w:tcPr>
          <w:p w14:paraId="6811A342" w14:textId="77777777" w:rsidR="00EB4406" w:rsidRPr="00F40A87" w:rsidRDefault="00EB4406" w:rsidP="003A5DDC">
            <w:pPr>
              <w:widowControl/>
              <w:jc w:val="left"/>
              <w:rPr>
                <w:rFonts w:ascii="微软雅黑" w:eastAsia="微软雅黑" w:hAnsi="微软雅黑" w:cs="宋体"/>
                <w:color w:val="000000"/>
                <w:kern w:val="0"/>
                <w:sz w:val="27"/>
                <w:szCs w:val="27"/>
              </w:rPr>
            </w:pPr>
            <w:r w:rsidRPr="00F40A87">
              <w:rPr>
                <w:rFonts w:ascii="微软雅黑" w:eastAsia="微软雅黑" w:hAnsi="微软雅黑" w:cs="宋体"/>
                <w:noProof/>
                <w:color w:val="000000"/>
                <w:kern w:val="0"/>
                <w:sz w:val="27"/>
                <w:szCs w:val="27"/>
              </w:rPr>
              <w:drawing>
                <wp:inline distT="0" distB="0" distL="0" distR="0" wp14:anchorId="7C1242C7" wp14:editId="23B515DA">
                  <wp:extent cx="1800000" cy="960000"/>
                  <wp:effectExtent l="0" t="0" r="0" b="0"/>
                  <wp:docPr id="25" name="图片 25" descr="http://58.246.65.10:8231/UploadFile/202110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1013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60000"/>
                          </a:xfrm>
                          <a:prstGeom prst="rect">
                            <a:avLst/>
                          </a:prstGeom>
                          <a:noFill/>
                          <a:ln>
                            <a:noFill/>
                          </a:ln>
                        </pic:spPr>
                      </pic:pic>
                    </a:graphicData>
                  </a:graphic>
                </wp:inline>
              </w:drawing>
            </w:r>
          </w:p>
        </w:tc>
        <w:tc>
          <w:tcPr>
            <w:tcW w:w="0" w:type="auto"/>
            <w:tcBorders>
              <w:top w:val="nil"/>
              <w:left w:val="nil"/>
              <w:bottom w:val="nil"/>
              <w:right w:val="nil"/>
            </w:tcBorders>
            <w:hideMark/>
          </w:tcPr>
          <w:p w14:paraId="07B10C6C" w14:textId="77777777" w:rsidR="00EB4406" w:rsidRPr="00F40A87" w:rsidRDefault="00EB4406" w:rsidP="003A5DDC">
            <w:pPr>
              <w:widowControl/>
              <w:jc w:val="left"/>
              <w:rPr>
                <w:rFonts w:ascii="微软雅黑" w:eastAsia="微软雅黑" w:hAnsi="微软雅黑" w:cs="宋体"/>
                <w:color w:val="000000"/>
                <w:kern w:val="0"/>
                <w:sz w:val="27"/>
                <w:szCs w:val="27"/>
              </w:rPr>
            </w:pPr>
          </w:p>
        </w:tc>
      </w:tr>
    </w:tbl>
    <w:p w14:paraId="72165D87" w14:textId="77777777" w:rsidR="00EB4406" w:rsidRDefault="00EB4406" w:rsidP="007B14C9">
      <w:r>
        <w:t>10月12日，奇瑞小蚂蚁新车型上市，新车补贴后售价为6.79万元，享受国补1.1万元。</w:t>
      </w:r>
    </w:p>
    <w:p w14:paraId="5F0EFB8D" w14:textId="77777777" w:rsidR="00EB4406" w:rsidRDefault="00EB4406" w:rsidP="007B14C9">
      <w:r>
        <w:rPr>
          <w:rFonts w:hint="eastAsia"/>
        </w:rPr>
        <w:t>外观方面，新车与现款车型基本保持一致。</w:t>
      </w:r>
    </w:p>
    <w:p w14:paraId="5CD545A2" w14:textId="77777777" w:rsidR="00EB4406" w:rsidRDefault="00EB4406" w:rsidP="007B14C9">
      <w:r>
        <w:rPr>
          <w:rFonts w:hint="eastAsia"/>
        </w:rPr>
        <w:t>配置方面，新车配备外后视镜</w:t>
      </w:r>
      <w:r>
        <w:t>LED转向灯、外后视镜加热、手机无线充电等。</w:t>
      </w:r>
    </w:p>
    <w:p w14:paraId="7CDD49E4" w14:textId="77777777" w:rsidR="00EB4406" w:rsidRDefault="00EB4406" w:rsidP="007B14C9">
      <w:r>
        <w:rPr>
          <w:rFonts w:hint="eastAsia"/>
        </w:rPr>
        <w:t>动力方面，新车搭载纯电动机，</w:t>
      </w:r>
      <w:r>
        <w:t>NEDC综合续航里程达301km。</w:t>
      </w:r>
    </w:p>
    <w:p w14:paraId="50689B33" w14:textId="77777777" w:rsidR="00EB4406" w:rsidRDefault="00EB4406" w:rsidP="007B14C9">
      <w:pPr>
        <w:rPr>
          <w:rFonts w:cs="宋体"/>
          <w:b/>
          <w:bCs/>
          <w:i/>
          <w:iCs/>
        </w:rPr>
      </w:pPr>
      <w:r w:rsidRPr="007654C2">
        <w:rPr>
          <w:rFonts w:cs="宋体" w:hint="eastAsia"/>
          <w:b/>
          <w:bCs/>
          <w:i/>
          <w:iCs/>
        </w:rPr>
        <w:t>分析：。</w:t>
      </w:r>
    </w:p>
    <w:p w14:paraId="5816D89B" w14:textId="77777777" w:rsidR="00EB4406" w:rsidRPr="00CC71EF" w:rsidRDefault="00EB4406" w:rsidP="007B14C9">
      <w:pPr>
        <w:pStyle w:val="a8"/>
        <w:numPr>
          <w:ilvl w:val="0"/>
          <w:numId w:val="6"/>
        </w:numPr>
        <w:ind w:firstLineChars="0"/>
        <w:outlineLvl w:val="1"/>
        <w:rPr>
          <w:b/>
        </w:rPr>
      </w:pPr>
      <w:r>
        <w:rPr>
          <w:b/>
        </w:rPr>
        <w:t>新款本田雅阁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B4406" w:rsidRPr="00CD7D77" w14:paraId="4493DBAA" w14:textId="77777777" w:rsidTr="003A5DDC">
        <w:trPr>
          <w:tblCellSpacing w:w="15" w:type="dxa"/>
        </w:trPr>
        <w:tc>
          <w:tcPr>
            <w:tcW w:w="0" w:type="auto"/>
            <w:tcBorders>
              <w:top w:val="nil"/>
              <w:left w:val="nil"/>
              <w:bottom w:val="nil"/>
              <w:right w:val="nil"/>
            </w:tcBorders>
            <w:hideMark/>
          </w:tcPr>
          <w:p w14:paraId="7F808D6B" w14:textId="77777777" w:rsidR="00EB4406" w:rsidRPr="00CD7D77" w:rsidRDefault="00EB4406" w:rsidP="003A5DDC">
            <w:pPr>
              <w:widowControl/>
              <w:jc w:val="left"/>
              <w:rPr>
                <w:rFonts w:ascii="宋体" w:eastAsia="宋体" w:hAnsi="宋体" w:cs="宋体"/>
                <w:kern w:val="0"/>
                <w:sz w:val="24"/>
              </w:rPr>
            </w:pPr>
          </w:p>
        </w:tc>
        <w:tc>
          <w:tcPr>
            <w:tcW w:w="0" w:type="auto"/>
            <w:tcBorders>
              <w:top w:val="nil"/>
              <w:left w:val="nil"/>
              <w:bottom w:val="nil"/>
              <w:right w:val="nil"/>
            </w:tcBorders>
            <w:hideMark/>
          </w:tcPr>
          <w:p w14:paraId="01BE3D48" w14:textId="77777777" w:rsidR="00EB4406" w:rsidRPr="00CD7D77" w:rsidRDefault="00EB4406" w:rsidP="003A5DDC">
            <w:pPr>
              <w:widowControl/>
              <w:jc w:val="left"/>
              <w:rPr>
                <w:rFonts w:ascii="微软雅黑" w:eastAsia="微软雅黑" w:hAnsi="微软雅黑" w:cs="宋体"/>
                <w:color w:val="000000"/>
                <w:kern w:val="0"/>
                <w:sz w:val="27"/>
                <w:szCs w:val="27"/>
              </w:rPr>
            </w:pPr>
            <w:r w:rsidRPr="00CD7D77">
              <w:rPr>
                <w:rFonts w:ascii="微软雅黑" w:eastAsia="微软雅黑" w:hAnsi="微软雅黑" w:cs="宋体"/>
                <w:noProof/>
                <w:color w:val="000000"/>
                <w:kern w:val="0"/>
                <w:sz w:val="27"/>
                <w:szCs w:val="27"/>
              </w:rPr>
              <w:drawing>
                <wp:inline distT="0" distB="0" distL="0" distR="0" wp14:anchorId="765787FC" wp14:editId="71A3BB55">
                  <wp:extent cx="1800000" cy="1022330"/>
                  <wp:effectExtent l="0" t="0" r="0" b="6985"/>
                  <wp:docPr id="4" name="图片 4" descr="http://58.246.65.10:8231/UploadFile/202110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01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22330"/>
                          </a:xfrm>
                          <a:prstGeom prst="rect">
                            <a:avLst/>
                          </a:prstGeom>
                          <a:noFill/>
                          <a:ln>
                            <a:noFill/>
                          </a:ln>
                        </pic:spPr>
                      </pic:pic>
                    </a:graphicData>
                  </a:graphic>
                </wp:inline>
              </w:drawing>
            </w:r>
          </w:p>
        </w:tc>
        <w:tc>
          <w:tcPr>
            <w:tcW w:w="0" w:type="auto"/>
            <w:tcBorders>
              <w:top w:val="nil"/>
              <w:left w:val="nil"/>
              <w:bottom w:val="nil"/>
              <w:right w:val="nil"/>
            </w:tcBorders>
            <w:hideMark/>
          </w:tcPr>
          <w:p w14:paraId="7A41ACEC" w14:textId="77777777" w:rsidR="00EB4406" w:rsidRPr="00CD7D77" w:rsidRDefault="00EB4406" w:rsidP="003A5DDC">
            <w:pPr>
              <w:widowControl/>
              <w:jc w:val="left"/>
              <w:rPr>
                <w:rFonts w:ascii="微软雅黑" w:eastAsia="微软雅黑" w:hAnsi="微软雅黑" w:cs="宋体"/>
                <w:color w:val="000000"/>
                <w:kern w:val="0"/>
                <w:sz w:val="27"/>
                <w:szCs w:val="27"/>
              </w:rPr>
            </w:pPr>
          </w:p>
        </w:tc>
      </w:tr>
    </w:tbl>
    <w:p w14:paraId="775ED1F6" w14:textId="77777777" w:rsidR="00EB4406" w:rsidRDefault="00EB4406" w:rsidP="007B14C9">
      <w:r>
        <w:t>10月9日，新款本田雅阁上市，新车共推9款，售价区间为16.98万-25.98万元。</w:t>
      </w:r>
    </w:p>
    <w:p w14:paraId="0BA9B5F8" w14:textId="77777777" w:rsidR="00EB4406" w:rsidRDefault="00EB4406" w:rsidP="007B14C9">
      <w:r>
        <w:rPr>
          <w:rFonts w:hint="eastAsia"/>
        </w:rPr>
        <w:t>外观方面，新车采用黑化进气格栅、回旋镖造型尾灯。</w:t>
      </w:r>
    </w:p>
    <w:p w14:paraId="08B69847" w14:textId="77777777" w:rsidR="00EB4406" w:rsidRDefault="00EB4406" w:rsidP="007B14C9">
      <w:r>
        <w:rPr>
          <w:rFonts w:hint="eastAsia"/>
        </w:rPr>
        <w:t>内饰方面，新车采用</w:t>
      </w:r>
      <w:r>
        <w:t>10.25英寸悬浮式中控屏。</w:t>
      </w:r>
    </w:p>
    <w:p w14:paraId="5FFCA393" w14:textId="77777777" w:rsidR="00EB4406" w:rsidRDefault="00EB4406" w:rsidP="007B14C9">
      <w:r>
        <w:rPr>
          <w:rFonts w:hint="eastAsia"/>
        </w:rPr>
        <w:t>配置方面，新车配备</w:t>
      </w:r>
      <w:r>
        <w:t>HondaSENSING安全超感智能驾驶辅助系统。</w:t>
      </w:r>
    </w:p>
    <w:p w14:paraId="7A1C18B0" w14:textId="77777777" w:rsidR="00EB4406" w:rsidRDefault="00EB4406" w:rsidP="007B14C9">
      <w:r>
        <w:rPr>
          <w:rFonts w:hint="eastAsia"/>
        </w:rPr>
        <w:t>动力方面，新车搭载</w:t>
      </w:r>
      <w:r>
        <w:t>1.5T和2.0L发动机，匹配CVT变速箱。</w:t>
      </w:r>
    </w:p>
    <w:p w14:paraId="22EC136C" w14:textId="3156AACF" w:rsidR="00EB4406" w:rsidRDefault="00EB4406" w:rsidP="007B14C9">
      <w:pPr>
        <w:rPr>
          <w:rFonts w:cs="宋体"/>
          <w:b/>
          <w:bCs/>
          <w:i/>
          <w:iCs/>
        </w:rPr>
      </w:pPr>
      <w:r w:rsidRPr="007654C2">
        <w:rPr>
          <w:rFonts w:cs="宋体" w:hint="eastAsia"/>
          <w:b/>
          <w:bCs/>
          <w:i/>
          <w:iCs/>
        </w:rPr>
        <w:t>分析：。</w:t>
      </w:r>
    </w:p>
    <w:p w14:paraId="64E395A6" w14:textId="77777777" w:rsidR="003773B7" w:rsidRDefault="003773B7" w:rsidP="007B14C9">
      <w:pPr>
        <w:rPr>
          <w:rFonts w:cs="宋体" w:hint="eastAsia"/>
          <w:b/>
          <w:bCs/>
          <w:i/>
          <w:iCs/>
        </w:rPr>
      </w:pPr>
    </w:p>
    <w:p w14:paraId="21B7ABEB" w14:textId="77777777" w:rsidR="007B14C9" w:rsidRPr="00DA5660" w:rsidRDefault="007B14C9" w:rsidP="007B14C9">
      <w:pPr>
        <w:pStyle w:val="a8"/>
        <w:numPr>
          <w:ilvl w:val="0"/>
          <w:numId w:val="14"/>
        </w:numPr>
        <w:ind w:firstLineChars="0"/>
        <w:outlineLvl w:val="0"/>
        <w:rPr>
          <w:b/>
        </w:rPr>
      </w:pPr>
      <w:r w:rsidRPr="00C97499">
        <w:rPr>
          <w:rFonts w:cs="宋体" w:hint="eastAsia"/>
          <w:b/>
          <w:bCs/>
        </w:rPr>
        <w:t>宏观经济与政策</w:t>
      </w:r>
    </w:p>
    <w:p w14:paraId="1E4B11C1" w14:textId="77777777" w:rsidR="00EB4406" w:rsidRPr="00170A72" w:rsidRDefault="00EB4406" w:rsidP="007B14C9">
      <w:pPr>
        <w:pStyle w:val="a8"/>
        <w:numPr>
          <w:ilvl w:val="0"/>
          <w:numId w:val="15"/>
        </w:numPr>
        <w:ind w:firstLineChars="0"/>
        <w:outlineLvl w:val="1"/>
        <w:rPr>
          <w:b/>
        </w:rPr>
      </w:pPr>
      <w:r w:rsidRPr="00170A72">
        <w:rPr>
          <w:rFonts w:hint="eastAsia"/>
          <w:b/>
        </w:rPr>
        <w:t>国家能源局：</w:t>
      </w:r>
      <w:r w:rsidRPr="00170A72">
        <w:rPr>
          <w:b/>
        </w:rPr>
        <w:t>9月份全社会用电量同比增长6.8%</w:t>
      </w:r>
    </w:p>
    <w:p w14:paraId="40F4DDDC" w14:textId="77777777" w:rsidR="00EB4406" w:rsidRDefault="00EB4406" w:rsidP="007B14C9">
      <w:r>
        <w:t>9月份全社会用电量达到6,947亿千瓦时，同比增长6.8%，两年平均增长7.4%；1-9月，全社会用电量累计61,651亿千瓦时，同比增长12.9%。</w:t>
      </w:r>
    </w:p>
    <w:p w14:paraId="29336CDF" w14:textId="6CFFCCFD" w:rsidR="009A576C" w:rsidRDefault="003773B7" w:rsidP="003773B7">
      <w:pPr>
        <w:outlineLvl w:val="1"/>
      </w:pPr>
      <w:r>
        <w:rPr>
          <w:b/>
        </w:rPr>
        <w:t>2.</w:t>
      </w:r>
      <w:r w:rsidR="009A576C" w:rsidRPr="003773B7">
        <w:rPr>
          <w:b/>
        </w:rPr>
        <w:t>9月我国动力电池装车量15.7GWh同比增138.6%</w:t>
      </w:r>
    </w:p>
    <w:p w14:paraId="39F4221D" w14:textId="5909F274" w:rsidR="009A576C" w:rsidRPr="003773B7" w:rsidRDefault="009A576C" w:rsidP="009A576C">
      <w:pPr>
        <w:rPr>
          <w:rFonts w:hint="eastAsia"/>
        </w:rPr>
      </w:pPr>
      <w:r w:rsidRPr="00016C2F">
        <w:t>10月12日，中国汽车动力电池产业创新联盟发布2021年9月份动力电池数据。9月我国动力电池装车量15.7GWh，同比上升138.6%，环比上升25.0%。</w:t>
      </w:r>
    </w:p>
    <w:p w14:paraId="65CD8986" w14:textId="70F1B7C5" w:rsidR="009A576C" w:rsidRPr="003773B7" w:rsidRDefault="003773B7" w:rsidP="003773B7">
      <w:pPr>
        <w:outlineLvl w:val="1"/>
        <w:rPr>
          <w:b/>
        </w:rPr>
      </w:pPr>
      <w:r>
        <w:rPr>
          <w:rFonts w:hint="eastAsia"/>
          <w:b/>
        </w:rPr>
        <w:t>3</w:t>
      </w:r>
      <w:r>
        <w:rPr>
          <w:b/>
        </w:rPr>
        <w:t>.</w:t>
      </w:r>
      <w:r w:rsidR="009A576C" w:rsidRPr="003773B7">
        <w:rPr>
          <w:rFonts w:hint="eastAsia"/>
          <w:b/>
        </w:rPr>
        <w:t>工信部</w:t>
      </w:r>
      <w:r w:rsidR="009A576C" w:rsidRPr="003773B7">
        <w:rPr>
          <w:b/>
        </w:rPr>
        <w:t>:加快智能网联汽车基础设施建设</w:t>
      </w:r>
    </w:p>
    <w:p w14:paraId="1921D577" w14:textId="77777777" w:rsidR="009A576C" w:rsidRDefault="009A576C" w:rsidP="009A576C">
      <w:r>
        <w:t>10月12日，工业和信息化部官方微信发布信息称，工信部将坚持智能化网联化同步推进战略，加快关键核心技术攻关，加强网联基础设施建设，深化测试示范和试点工作，推动中国汽车产业高质量发展。</w:t>
      </w:r>
    </w:p>
    <w:p w14:paraId="4206EC67" w14:textId="77777777" w:rsidR="009A576C" w:rsidRDefault="009A576C" w:rsidP="009A576C">
      <w:r>
        <w:rPr>
          <w:rFonts w:hint="eastAsia"/>
        </w:rPr>
        <w:t>工信部在答复新能源汽车产业相关政策建议时表示，在推动智能网联汽车产业发展过程中，工信部始终坚持“单车智能</w:t>
      </w:r>
      <w:r>
        <w:t>+网联赋能”的发展战略。</w:t>
      </w:r>
    </w:p>
    <w:p w14:paraId="1EA811C6" w14:textId="77777777" w:rsidR="009A576C" w:rsidRDefault="009A576C" w:rsidP="009A576C">
      <w:r>
        <w:rPr>
          <w:rFonts w:hint="eastAsia"/>
        </w:rPr>
        <w:t>工信部表示，将加快发布实施《智能网联汽车道路测试与示范应用管理规范</w:t>
      </w:r>
      <w:r>
        <w:t>(试行)》，支持行业机构和企业在更大范围内进行道路测试，开展多种场景下的示范应用，进一步推动数据共享、结果互认，鼓励探索商业化发展模式。</w:t>
      </w:r>
    </w:p>
    <w:p w14:paraId="19CF7B70" w14:textId="0F781A9D" w:rsidR="009A576C" w:rsidRPr="003773B7" w:rsidRDefault="003773B7" w:rsidP="003773B7">
      <w:pPr>
        <w:outlineLvl w:val="1"/>
        <w:rPr>
          <w:b/>
        </w:rPr>
      </w:pPr>
      <w:r>
        <w:rPr>
          <w:rFonts w:hint="eastAsia"/>
          <w:b/>
        </w:rPr>
        <w:t>4</w:t>
      </w:r>
      <w:r>
        <w:rPr>
          <w:b/>
        </w:rPr>
        <w:t>.</w:t>
      </w:r>
      <w:r w:rsidR="009A576C" w:rsidRPr="003773B7">
        <w:rPr>
          <w:rFonts w:hint="eastAsia"/>
          <w:b/>
        </w:rPr>
        <w:t>工信部：将积极开展农村地区新能源汽车推广</w:t>
      </w:r>
    </w:p>
    <w:p w14:paraId="47BF37C0" w14:textId="77777777" w:rsidR="009A576C" w:rsidRDefault="009A576C" w:rsidP="009A576C">
      <w:r>
        <w:t>10月14日，工业和信息化部对《关于促进农村地区新能源汽车推广，助力乡村振兴战略的提案》作出答复，下一步，工信部将会同相关部门，进一步完善农村充换电站服务水平，聚焦解决当前充电基础设施存在的突出问题，鼓励支持农村可再生能源相对丰富地区研究探索新能源汽车与可再生能源融合应用的新模式等。</w:t>
      </w:r>
    </w:p>
    <w:p w14:paraId="3256F07C" w14:textId="20E4130C" w:rsidR="009A576C" w:rsidRPr="003773B7" w:rsidRDefault="003773B7" w:rsidP="003773B7">
      <w:pPr>
        <w:outlineLvl w:val="1"/>
        <w:rPr>
          <w:b/>
        </w:rPr>
      </w:pPr>
      <w:r>
        <w:rPr>
          <w:rFonts w:hint="eastAsia"/>
          <w:b/>
        </w:rPr>
        <w:t>5</w:t>
      </w:r>
      <w:r>
        <w:rPr>
          <w:b/>
        </w:rPr>
        <w:t>.</w:t>
      </w:r>
      <w:r w:rsidR="009A576C" w:rsidRPr="003773B7">
        <w:rPr>
          <w:rFonts w:hint="eastAsia"/>
          <w:b/>
        </w:rPr>
        <w:t>工信部：将完善车联网安全监管工作体系</w:t>
      </w:r>
    </w:p>
    <w:p w14:paraId="4C54857C" w14:textId="77777777" w:rsidR="009A576C" w:rsidRDefault="009A576C" w:rsidP="009A576C">
      <w:r>
        <w:rPr>
          <w:rFonts w:hint="eastAsia"/>
        </w:rPr>
        <w:t>近日，工信部对提出的《关于加强对智能汽车数据安全监管</w:t>
      </w:r>
      <w:r>
        <w:t>保障智能汽车产业安全健康发展的提案》做出答复，答复称：“我部将会同相关部门进一步健全完善车联网安全监管工作体系和工作机制，促进产业高质量发展。”当前，车联网作为汽车、电子、信息通信和道路交通跨界融合的典型领域，相关技术及产业处于快速发展阶段。随着汽车网联化、智能化程度不断提高，在方便用户操作、提升驾驶体验的同时，网络攻击、数据泄露等风险日益加大，一旦车辆被远程控制或恶意攻击，将严重危害用户人身和财产安全，甚至威胁国家和社会安全。对此，工信部将进一步完善</w:t>
      </w:r>
      <w:r>
        <w:rPr>
          <w:rFonts w:hint="eastAsia"/>
        </w:rPr>
        <w:t>车联网安全管理制度。一是研究制定数据出境安全评估办法、工业和信息化领域数据安全管理办法、车联网数据安全指引等政策规范，加快发布《车联网网络安全标准体系建设指南》和数据安全评估认证等相关标准，指导企业完善管理制度和技术措施、开展数据分类分级等工作。</w:t>
      </w:r>
    </w:p>
    <w:p w14:paraId="30B1AB2C" w14:textId="554DC9D4" w:rsidR="009A576C" w:rsidRPr="003773B7" w:rsidRDefault="003773B7" w:rsidP="003773B7">
      <w:pPr>
        <w:outlineLvl w:val="1"/>
        <w:rPr>
          <w:b/>
        </w:rPr>
      </w:pPr>
      <w:r>
        <w:rPr>
          <w:rFonts w:hint="eastAsia"/>
          <w:b/>
        </w:rPr>
        <w:t>6</w:t>
      </w:r>
      <w:r>
        <w:rPr>
          <w:b/>
        </w:rPr>
        <w:t>.</w:t>
      </w:r>
      <w:r w:rsidR="009A576C" w:rsidRPr="003773B7">
        <w:rPr>
          <w:rFonts w:hint="eastAsia"/>
          <w:b/>
        </w:rPr>
        <w:t>工信部部长视察吉利商用车基地</w:t>
      </w:r>
    </w:p>
    <w:p w14:paraId="2B00794C" w14:textId="77777777" w:rsidR="009A576C" w:rsidRDefault="009A576C" w:rsidP="009A576C">
      <w:r>
        <w:t>2021年10月10日，工业和信息化部党组书记、部长肖亚庆在四川省委常委、省政府常务副省长罗文，四川省政府副秘书长刘全胜，四川省经济和信息化厅党组书记、厅长朱家德的陪同下带领工信部工作小组视察吉利商用车南充研发生产基地，调研吉利商用车的生产经营情况，吉利商用车集团CEO周建群、吉利控股集团副总裁魏志玲等陪同。</w:t>
      </w:r>
    </w:p>
    <w:p w14:paraId="4C3A28EF" w14:textId="77777777" w:rsidR="009A576C" w:rsidRDefault="009A576C" w:rsidP="009A576C">
      <w:r>
        <w:rPr>
          <w:rFonts w:hint="eastAsia"/>
        </w:rPr>
        <w:t>目前，吉利商用车南充基地建有研究院、博士工作站、省级技术中心，现有员工近</w:t>
      </w:r>
      <w:r>
        <w:t>1200人，其中高级技术人员100余人。基地正式投产4年来，远程纯电动公交、轻卡批量投放国内主要城市，其中远程轻卡市场占有率长期位居新能源商用车细分市场前列。吉利商用车以核心技术驱动发展，带动南充产业转型，推动绿色低碳体系创新，成功圆了南充的“汽车梦”。</w:t>
      </w:r>
    </w:p>
    <w:p w14:paraId="54A3880D" w14:textId="3A1D4D9A" w:rsidR="009A576C" w:rsidRPr="003773B7" w:rsidRDefault="003773B7" w:rsidP="003773B7">
      <w:pPr>
        <w:outlineLvl w:val="1"/>
        <w:rPr>
          <w:b/>
        </w:rPr>
      </w:pPr>
      <w:r>
        <w:rPr>
          <w:rFonts w:hint="eastAsia"/>
          <w:b/>
        </w:rPr>
        <w:t>7</w:t>
      </w:r>
      <w:r>
        <w:rPr>
          <w:b/>
        </w:rPr>
        <w:t>.</w:t>
      </w:r>
      <w:r w:rsidR="009A576C" w:rsidRPr="003773B7">
        <w:rPr>
          <w:rFonts w:hint="eastAsia"/>
          <w:b/>
        </w:rPr>
        <w:t>工信部发布</w:t>
      </w:r>
      <w:r w:rsidR="009A576C" w:rsidRPr="003773B7">
        <w:rPr>
          <w:b/>
        </w:rPr>
        <w:t>2021年度双积分核算通知</w:t>
      </w:r>
    </w:p>
    <w:p w14:paraId="20A7463F" w14:textId="77777777" w:rsidR="009A576C" w:rsidRDefault="009A576C" w:rsidP="009A576C">
      <w:r>
        <w:rPr>
          <w:rFonts w:hint="eastAsia"/>
        </w:rPr>
        <w:t>工业和信息化部发布《关于</w:t>
      </w:r>
      <w:r>
        <w:t>2021年度双积分核算有关事项的通知》，《通知》明确，传统能源乘用车和插电式混合动力乘用车要按照WLTC工况标准确定车型的燃料消耗量、电能消耗量及纯电续驶里程，并在《公告》系统填报相应数值。</w:t>
      </w:r>
    </w:p>
    <w:p w14:paraId="4C3EAB77" w14:textId="77777777" w:rsidR="009A576C" w:rsidRDefault="009A576C" w:rsidP="009A576C">
      <w:r>
        <w:rPr>
          <w:rFonts w:hint="eastAsia"/>
        </w:rPr>
        <w:t>纯电动乘用车可选择按</w:t>
      </w:r>
      <w:r>
        <w:t>NEDC工况或CLTC工况确定车型电能消耗量和续驶里程。</w:t>
      </w:r>
    </w:p>
    <w:p w14:paraId="378BB244" w14:textId="152957D3" w:rsidR="009A576C" w:rsidRPr="003773B7" w:rsidRDefault="003773B7" w:rsidP="003773B7">
      <w:pPr>
        <w:outlineLvl w:val="1"/>
        <w:rPr>
          <w:b/>
        </w:rPr>
      </w:pPr>
      <w:r>
        <w:rPr>
          <w:rFonts w:hint="eastAsia"/>
          <w:b/>
        </w:rPr>
        <w:t>8</w:t>
      </w:r>
      <w:r>
        <w:rPr>
          <w:b/>
        </w:rPr>
        <w:t>.</w:t>
      </w:r>
      <w:r w:rsidR="009A576C" w:rsidRPr="003773B7">
        <w:rPr>
          <w:rFonts w:hint="eastAsia"/>
          <w:b/>
        </w:rPr>
        <w:t>习近平：要大力发展智慧交通和智慧物流</w:t>
      </w:r>
    </w:p>
    <w:p w14:paraId="0542B359" w14:textId="77777777" w:rsidR="009A576C" w:rsidRDefault="009A576C" w:rsidP="009A576C">
      <w:r>
        <w:t>10月14日晚，国家主席习近平以视频方式出席第二届联合国全球可持续交通大会开幕式并发表主旨讲话。习近平强调，要大力发展智慧交通和智慧物流，推动大数据、互联网、人工智能、区块链等新技术与交通行业深度融合，使人享其行、物畅其流。</w:t>
      </w:r>
    </w:p>
    <w:p w14:paraId="3CCD4EC3" w14:textId="72F36B39" w:rsidR="009A576C" w:rsidRPr="003773B7" w:rsidRDefault="003773B7" w:rsidP="003773B7">
      <w:pPr>
        <w:outlineLvl w:val="1"/>
        <w:rPr>
          <w:b/>
        </w:rPr>
      </w:pPr>
      <w:r>
        <w:rPr>
          <w:rFonts w:hint="eastAsia"/>
          <w:b/>
        </w:rPr>
        <w:t>9</w:t>
      </w:r>
      <w:r>
        <w:rPr>
          <w:b/>
        </w:rPr>
        <w:t>.</w:t>
      </w:r>
      <w:r w:rsidR="009A576C" w:rsidRPr="003773B7">
        <w:rPr>
          <w:rFonts w:hint="eastAsia"/>
          <w:b/>
        </w:rPr>
        <w:t>中共中央、国务院印发《国家标准化发展纲要》</w:t>
      </w:r>
    </w:p>
    <w:p w14:paraId="2B535726" w14:textId="77777777" w:rsidR="009A576C" w:rsidRDefault="009A576C" w:rsidP="009A576C">
      <w:r>
        <w:t>10月10日，中共中央、国务院印发《国家标准化发展纲要》，加强关键技术领域标准研究。在人工智能、量子信息、生物技术等领域，开展标准化研究。研究制定智能船舶、高铁、新能源汽车、智能网联汽车和机器人等领域关键技术标准，推动产业变革。适时制定和完善无人驾驶等领域技术安全相关标准，提升技术领域安全风险管理水平。</w:t>
      </w:r>
    </w:p>
    <w:p w14:paraId="73240244" w14:textId="6C8C6C7C" w:rsidR="00EB4406" w:rsidRPr="003773B7" w:rsidRDefault="003773B7" w:rsidP="003773B7">
      <w:pPr>
        <w:outlineLvl w:val="1"/>
        <w:rPr>
          <w:b/>
        </w:rPr>
      </w:pPr>
      <w:r>
        <w:rPr>
          <w:rFonts w:hint="eastAsia"/>
          <w:b/>
        </w:rPr>
        <w:t>1</w:t>
      </w:r>
      <w:r>
        <w:rPr>
          <w:b/>
        </w:rPr>
        <w:t>0.</w:t>
      </w:r>
      <w:r w:rsidR="00EB4406" w:rsidRPr="003773B7">
        <w:rPr>
          <w:rFonts w:hint="eastAsia"/>
          <w:b/>
        </w:rPr>
        <w:t>海关总署：前三季度我国外贸进出口总值</w:t>
      </w:r>
      <w:r w:rsidR="00EB4406" w:rsidRPr="003773B7">
        <w:rPr>
          <w:b/>
        </w:rPr>
        <w:t>28.33万亿元</w:t>
      </w:r>
    </w:p>
    <w:p w14:paraId="4777D939" w14:textId="77777777" w:rsidR="00EB4406" w:rsidRDefault="00EB4406" w:rsidP="007B14C9">
      <w:r>
        <w:t>今年前三季度，我国外贸进出口总值28.33万亿元，同比增长22.7%。其中出口15.55万亿元，同比增长22.7%；进口12.78万亿元，同比增长22.6%。</w:t>
      </w:r>
    </w:p>
    <w:p w14:paraId="1AA56FBC" w14:textId="77777777" w:rsidR="003773B7" w:rsidRDefault="003773B7" w:rsidP="007B14C9">
      <w:pPr>
        <w:rPr>
          <w:rFonts w:cs="宋体" w:hint="eastAsia"/>
          <w:b/>
          <w:bCs/>
          <w:i/>
          <w:iCs/>
        </w:rPr>
      </w:pPr>
    </w:p>
    <w:p w14:paraId="68C7D3DB" w14:textId="77777777" w:rsidR="007B14C9" w:rsidRPr="002009FE" w:rsidRDefault="007B14C9" w:rsidP="007B14C9">
      <w:pPr>
        <w:pStyle w:val="a8"/>
        <w:numPr>
          <w:ilvl w:val="0"/>
          <w:numId w:val="4"/>
        </w:numPr>
        <w:ind w:firstLineChars="0"/>
        <w:outlineLvl w:val="0"/>
      </w:pPr>
      <w:r>
        <w:rPr>
          <w:rFonts w:cs="宋体" w:hint="eastAsia"/>
          <w:b/>
          <w:bCs/>
        </w:rPr>
        <w:t>企业信息</w:t>
      </w:r>
    </w:p>
    <w:p w14:paraId="45F6BF2D" w14:textId="77777777" w:rsidR="0080124F" w:rsidRPr="003710C7" w:rsidRDefault="0080124F" w:rsidP="007B14C9">
      <w:pPr>
        <w:pStyle w:val="a8"/>
        <w:numPr>
          <w:ilvl w:val="3"/>
          <w:numId w:val="17"/>
        </w:numPr>
        <w:ind w:firstLineChars="0"/>
        <w:jc w:val="left"/>
        <w:outlineLvl w:val="1"/>
        <w:rPr>
          <w:b/>
        </w:rPr>
      </w:pPr>
      <w:r w:rsidRPr="003710C7">
        <w:rPr>
          <w:b/>
        </w:rPr>
        <w:t>本田发布战略规划5年内推10款全新电动车</w:t>
      </w:r>
    </w:p>
    <w:p w14:paraId="2610F173" w14:textId="77777777" w:rsidR="0080124F" w:rsidRDefault="0080124F" w:rsidP="007B14C9">
      <w:r w:rsidRPr="009477A7">
        <w:rPr>
          <w:rFonts w:hint="eastAsia"/>
        </w:rPr>
        <w:t>本田将在</w:t>
      </w:r>
      <w:r w:rsidRPr="009477A7">
        <w:t>5年内推10款全新电动车，同时旗下纯电动车和燃料电池车预计2030年达40%，2035年达到80%，2040年达到100%。2030年后在中国推出的所有新车型均为电动化车型。</w:t>
      </w:r>
      <w:r w:rsidRPr="009477A7">
        <w:rPr>
          <w:rFonts w:hint="eastAsia"/>
        </w:rPr>
        <w:t>另外，本田将到</w:t>
      </w:r>
      <w:r w:rsidRPr="009477A7">
        <w:t>2050年实现“碳中和”和“交通事故零死亡”。发布会现场，本田e:NCoupeconcept、e:NSUVconcept，以及e:NGTconcept旗下e:N”系列三款概念车全球首发。同时，“e:N”系列量产车东风本田e:NS1和广汽本田e:NP1也一同亮相。</w:t>
      </w:r>
    </w:p>
    <w:p w14:paraId="1BAA6FC7" w14:textId="77777777" w:rsidR="0080124F" w:rsidRPr="003710C7" w:rsidRDefault="0080124F" w:rsidP="007B14C9">
      <w:pPr>
        <w:pStyle w:val="a8"/>
        <w:numPr>
          <w:ilvl w:val="3"/>
          <w:numId w:val="17"/>
        </w:numPr>
        <w:ind w:firstLineChars="0"/>
        <w:jc w:val="left"/>
        <w:outlineLvl w:val="1"/>
        <w:rPr>
          <w:b/>
        </w:rPr>
      </w:pPr>
      <w:r w:rsidRPr="003710C7">
        <w:rPr>
          <w:rFonts w:hint="eastAsia"/>
          <w:b/>
        </w:rPr>
        <w:t>比亚迪将在济南建设</w:t>
      </w:r>
      <w:r w:rsidRPr="003710C7">
        <w:rPr>
          <w:b/>
        </w:rPr>
        <w:t>15GWh电池生产基地</w:t>
      </w:r>
    </w:p>
    <w:p w14:paraId="748EE940" w14:textId="77777777" w:rsidR="0080124F" w:rsidRDefault="0080124F" w:rsidP="007B14C9">
      <w:r>
        <w:t>10月12日，济南市自然资源和规划局公示了济南弗迪产业园建设项目(一期)设计方案。</w:t>
      </w:r>
    </w:p>
    <w:p w14:paraId="299732CA" w14:textId="77777777" w:rsidR="0080124F" w:rsidRDefault="0080124F" w:rsidP="007B14C9">
      <w:r>
        <w:rPr>
          <w:rFonts w:hint="eastAsia"/>
        </w:rPr>
        <w:t>规划显示，项目位于济南高新区徐寨片区，用地面积约</w:t>
      </w:r>
      <w:r>
        <w:t>40公顷。项目整体规划分期实施，一期规划总建筑面积23.6万平方米。</w:t>
      </w:r>
    </w:p>
    <w:p w14:paraId="724B0BCC" w14:textId="77777777" w:rsidR="0080124F" w:rsidRPr="0028083B" w:rsidRDefault="0080124F" w:rsidP="007B14C9">
      <w:pPr>
        <w:pStyle w:val="a8"/>
        <w:numPr>
          <w:ilvl w:val="3"/>
          <w:numId w:val="17"/>
        </w:numPr>
        <w:ind w:firstLineChars="0"/>
        <w:jc w:val="left"/>
        <w:outlineLvl w:val="1"/>
        <w:rPr>
          <w:b/>
        </w:rPr>
      </w:pPr>
      <w:r w:rsidRPr="0028083B">
        <w:rPr>
          <w:rFonts w:hint="eastAsia"/>
          <w:b/>
        </w:rPr>
        <w:t>曹操出行关联公司经营范围增快速充电站</w:t>
      </w:r>
    </w:p>
    <w:p w14:paraId="4410737E" w14:textId="77777777" w:rsidR="0080124F" w:rsidRDefault="0080124F" w:rsidP="007B14C9">
      <w:r>
        <w:rPr>
          <w:rFonts w:hint="eastAsia"/>
        </w:rPr>
        <w:t>曹操出行关联公司——苏州市吉利优行电子科技有限公司，发生工商变更，公司经营范围新增网络预约出租汽车经营服务；集中式快速充电站；机动车充电销售；充电控制设备租赁；新能源汽车整车销售等。</w:t>
      </w:r>
    </w:p>
    <w:p w14:paraId="0B58F414" w14:textId="77777777" w:rsidR="0080124F" w:rsidRPr="005B266E" w:rsidRDefault="0080124F" w:rsidP="007B14C9">
      <w:pPr>
        <w:pStyle w:val="a8"/>
        <w:numPr>
          <w:ilvl w:val="3"/>
          <w:numId w:val="17"/>
        </w:numPr>
        <w:ind w:firstLineChars="0"/>
        <w:jc w:val="left"/>
        <w:outlineLvl w:val="1"/>
        <w:rPr>
          <w:b/>
        </w:rPr>
      </w:pPr>
      <w:r w:rsidRPr="005B266E">
        <w:rPr>
          <w:rFonts w:hint="eastAsia"/>
          <w:b/>
        </w:rPr>
        <w:t>传长城汽车</w:t>
      </w:r>
      <w:r w:rsidRPr="005B266E">
        <w:rPr>
          <w:b/>
        </w:rPr>
        <w:t>9.2亿元全资并购长征汽车正式进军重卡领域</w:t>
      </w:r>
    </w:p>
    <w:p w14:paraId="6E984B5A" w14:textId="77777777" w:rsidR="0080124F" w:rsidRDefault="0080124F" w:rsidP="007B14C9">
      <w:r>
        <w:t>长征汽车100%国有股权转让项目，已于9月30日正式挂牌，挂牌交易金额9.2亿元，报名截止日期为11月2日。对此，业内人士解读为，长城汽车将以9.2亿元全资并购长征汽车。长城汽车方面对是否将摘牌长征汽车表示“不予置评”。</w:t>
      </w:r>
    </w:p>
    <w:p w14:paraId="176E0ED3" w14:textId="77777777" w:rsidR="0080124F" w:rsidRPr="007D3343" w:rsidRDefault="0080124F" w:rsidP="007B14C9">
      <w:pPr>
        <w:pStyle w:val="a8"/>
        <w:numPr>
          <w:ilvl w:val="3"/>
          <w:numId w:val="17"/>
        </w:numPr>
        <w:ind w:firstLineChars="0"/>
        <w:jc w:val="left"/>
        <w:outlineLvl w:val="1"/>
        <w:rPr>
          <w:b/>
        </w:rPr>
      </w:pPr>
      <w:r w:rsidRPr="007D3343">
        <w:rPr>
          <w:rFonts w:hint="eastAsia"/>
          <w:b/>
        </w:rPr>
        <w:t>东风集团</w:t>
      </w:r>
      <w:r w:rsidRPr="007D3343">
        <w:rPr>
          <w:b/>
        </w:rPr>
        <w:t>1.57亿收购零部件公司鸿泰销售</w:t>
      </w:r>
    </w:p>
    <w:p w14:paraId="743B7E3B" w14:textId="77777777" w:rsidR="0080124F" w:rsidRDefault="0080124F" w:rsidP="007B14C9">
      <w:r>
        <w:rPr>
          <w:rFonts w:hint="eastAsia"/>
        </w:rPr>
        <w:t>东风集团发布公告，称公司与东风鸿泰订立《股权转让协议》，公司向东风鸿泰购买其持有的鸿泰销售</w:t>
      </w:r>
      <w:r>
        <w:t>100%的股权和鸿泰咨询100%的股权，代价合计为约1.57亿元人民币。</w:t>
      </w:r>
    </w:p>
    <w:p w14:paraId="0AEA4868" w14:textId="77777777" w:rsidR="0080124F" w:rsidRPr="005B266E" w:rsidRDefault="0080124F" w:rsidP="007B14C9">
      <w:pPr>
        <w:pStyle w:val="a8"/>
        <w:numPr>
          <w:ilvl w:val="3"/>
          <w:numId w:val="17"/>
        </w:numPr>
        <w:ind w:firstLineChars="0"/>
        <w:jc w:val="left"/>
        <w:outlineLvl w:val="1"/>
        <w:rPr>
          <w:b/>
        </w:rPr>
      </w:pPr>
      <w:r w:rsidRPr="005B266E">
        <w:rPr>
          <w:rFonts w:hint="eastAsia"/>
          <w:b/>
        </w:rPr>
        <w:t>广汽埃安工厂计划明年初产能扩至</w:t>
      </w:r>
      <w:r w:rsidRPr="005B266E">
        <w:rPr>
          <w:b/>
        </w:rPr>
        <w:t>20万</w:t>
      </w:r>
    </w:p>
    <w:p w14:paraId="58E86E55" w14:textId="77777777" w:rsidR="0080124F" w:rsidRDefault="0080124F" w:rsidP="007B14C9">
      <w:r>
        <w:t>10月14日，广汽在上证互动平台上表示，广汽埃安工厂正在进行扩建，计划于2022年初扩充至20万辆，目前的年产能为10万辆。</w:t>
      </w:r>
    </w:p>
    <w:p w14:paraId="3D7711F5" w14:textId="77777777" w:rsidR="0080124F" w:rsidRPr="003710C7" w:rsidRDefault="0080124F" w:rsidP="007B14C9">
      <w:pPr>
        <w:pStyle w:val="a8"/>
        <w:numPr>
          <w:ilvl w:val="3"/>
          <w:numId w:val="17"/>
        </w:numPr>
        <w:ind w:firstLineChars="0"/>
        <w:jc w:val="left"/>
        <w:outlineLvl w:val="1"/>
        <w:rPr>
          <w:b/>
        </w:rPr>
      </w:pPr>
      <w:r w:rsidRPr="003710C7">
        <w:rPr>
          <w:rFonts w:hint="eastAsia"/>
          <w:b/>
        </w:rPr>
        <w:t>毫末智行“小魔盒”国庆假期行驶里程超</w:t>
      </w:r>
      <w:r w:rsidRPr="003710C7">
        <w:rPr>
          <w:b/>
        </w:rPr>
        <w:t>50万公里</w:t>
      </w:r>
    </w:p>
    <w:p w14:paraId="1BF8C9FC" w14:textId="77777777" w:rsidR="0080124F" w:rsidRPr="00712B1D" w:rsidRDefault="0080124F" w:rsidP="007B14C9">
      <w:r w:rsidRPr="00712B1D">
        <w:t>10月14日，毫末智行发布“十一”出行数据报告显示，国庆假期期间，毫末智行辅助驾驶系统“小魔盒”行驶总里程超过50万公里，单日单车最长里程390公里，小魔盒使用率10%。</w:t>
      </w:r>
    </w:p>
    <w:p w14:paraId="7889D483" w14:textId="77777777" w:rsidR="0080124F" w:rsidRPr="00596220" w:rsidRDefault="0080124F" w:rsidP="007B14C9">
      <w:pPr>
        <w:pStyle w:val="a8"/>
        <w:numPr>
          <w:ilvl w:val="3"/>
          <w:numId w:val="17"/>
        </w:numPr>
        <w:ind w:firstLineChars="0"/>
        <w:jc w:val="left"/>
        <w:outlineLvl w:val="1"/>
        <w:rPr>
          <w:b/>
        </w:rPr>
      </w:pPr>
      <w:r w:rsidRPr="00596220">
        <w:rPr>
          <w:b/>
        </w:rPr>
        <w:t>江铃福特</w:t>
      </w:r>
      <w:r w:rsidRPr="00596220">
        <w:rPr>
          <w:rFonts w:hint="eastAsia"/>
          <w:b/>
        </w:rPr>
        <w:t>组建合资公司</w:t>
      </w:r>
      <w:r w:rsidRPr="00596220">
        <w:rPr>
          <w:b/>
        </w:rPr>
        <w:t>押注乘用车市场</w:t>
      </w:r>
    </w:p>
    <w:p w14:paraId="5AAAAC3C" w14:textId="77777777" w:rsidR="0080124F" w:rsidRDefault="0080124F" w:rsidP="007B14C9">
      <w:r>
        <w:t>9月27日，江铃汽车发布公告称其拟与福特汽车共同出资设立江铃福特合资公司，注册资本2亿元人民币，江铃持股51%，福特持股49%。合资公司将主要就江铃汽车生产的福特品牌整车提供分销服务，也可以通过经销商批售或终端客户直销的方式进行经营。公告还显示，该合资公司注册地址为上海自由贸易试验区世纪大道211号上海信息大楼。</w:t>
      </w:r>
    </w:p>
    <w:p w14:paraId="609E635F" w14:textId="77777777" w:rsidR="0080124F" w:rsidRDefault="0080124F" w:rsidP="007B14C9">
      <w:r>
        <w:rPr>
          <w:rFonts w:hint="eastAsia"/>
        </w:rPr>
        <w:t>从公告中不难看出，江铃与福特两位合作多年的“老搭档”，如今在原有合作的基础上结成“硕果”。新成立的合资公司，不仅加强了江铃与福特的合作关系，同时也预示着双方将在乘用车领域有新的动向。</w:t>
      </w:r>
    </w:p>
    <w:p w14:paraId="150E677C" w14:textId="77777777" w:rsidR="0080124F" w:rsidRPr="00DD5EC3" w:rsidRDefault="0080124F" w:rsidP="007B14C9">
      <w:pPr>
        <w:pStyle w:val="a8"/>
        <w:numPr>
          <w:ilvl w:val="3"/>
          <w:numId w:val="17"/>
        </w:numPr>
        <w:ind w:firstLineChars="0"/>
        <w:jc w:val="left"/>
        <w:outlineLvl w:val="1"/>
        <w:rPr>
          <w:b/>
        </w:rPr>
      </w:pPr>
      <w:r w:rsidRPr="00DD5EC3">
        <w:rPr>
          <w:rFonts w:hint="eastAsia"/>
          <w:b/>
        </w:rPr>
        <w:t>理想构建充电网络</w:t>
      </w:r>
      <w:r w:rsidRPr="00DD5EC3">
        <w:rPr>
          <w:b/>
        </w:rPr>
        <w:t>全自动充电设备正在研发</w:t>
      </w:r>
    </w:p>
    <w:p w14:paraId="64A4AF1A" w14:textId="77777777" w:rsidR="0080124F" w:rsidRDefault="0080124F" w:rsidP="007B14C9">
      <w:r>
        <w:t>10月12日，理想汽车副总裁、充电网络负责人孙广敏在2021全球新能源与智能汽车供应链创新大会上发表了“高质量充电的理想之路”的演讲，介绍了理想汽车在充电领域的构想和解决方案。</w:t>
      </w:r>
    </w:p>
    <w:p w14:paraId="1CDE54FC" w14:textId="77777777" w:rsidR="0080124F" w:rsidRDefault="0080124F" w:rsidP="007B14C9">
      <w:r>
        <w:rPr>
          <w:rFonts w:hint="eastAsia"/>
        </w:rPr>
        <w:t>孙广敏认为，在新能源汽车快速增长的背景下，目前充电行业正面临两大问题，一是基础设施建设速度制约了传统燃油车向新能源汽车的转化；二是现有的公共充电效率较低。</w:t>
      </w:r>
    </w:p>
    <w:p w14:paraId="5B3C66EF" w14:textId="77777777" w:rsidR="0080124F" w:rsidRDefault="0080124F" w:rsidP="007B14C9">
      <w:pPr>
        <w:pStyle w:val="a8"/>
        <w:numPr>
          <w:ilvl w:val="3"/>
          <w:numId w:val="17"/>
        </w:numPr>
        <w:ind w:firstLineChars="0"/>
        <w:jc w:val="left"/>
        <w:outlineLvl w:val="1"/>
      </w:pPr>
      <w:r w:rsidRPr="005E6E00">
        <w:rPr>
          <w:rFonts w:hint="eastAsia"/>
          <w:b/>
        </w:rPr>
        <w:t>宁德时代拟</w:t>
      </w:r>
      <w:r w:rsidRPr="005E6E00">
        <w:rPr>
          <w:b/>
        </w:rPr>
        <w:t>320亿元在湖北宜昌投建废旧电池回收项目</w:t>
      </w:r>
    </w:p>
    <w:p w14:paraId="3745C5A1" w14:textId="77777777" w:rsidR="0080124F" w:rsidRDefault="0080124F" w:rsidP="007B14C9">
      <w:r w:rsidRPr="00016C2F">
        <w:t>10月12日，宁德时代发布公告称，公司拟在湖北宜昌投建邦普一体化电池材料产业园项目，投资总金额不超过320亿元。</w:t>
      </w:r>
    </w:p>
    <w:p w14:paraId="550B67A6" w14:textId="77777777" w:rsidR="0080124F" w:rsidRPr="00170A72" w:rsidRDefault="0080124F" w:rsidP="007B14C9">
      <w:pPr>
        <w:pStyle w:val="a8"/>
        <w:numPr>
          <w:ilvl w:val="3"/>
          <w:numId w:val="17"/>
        </w:numPr>
        <w:ind w:firstLineChars="0"/>
        <w:jc w:val="left"/>
        <w:outlineLvl w:val="1"/>
        <w:rPr>
          <w:b/>
        </w:rPr>
      </w:pPr>
      <w:r w:rsidRPr="00170A72">
        <w:rPr>
          <w:b/>
        </w:rPr>
        <w:t>宁德时代</w:t>
      </w:r>
      <w:r w:rsidRPr="00170A72">
        <w:rPr>
          <w:rFonts w:hint="eastAsia"/>
          <w:b/>
        </w:rPr>
        <w:t>投资</w:t>
      </w:r>
      <w:r w:rsidRPr="00170A72">
        <w:rPr>
          <w:b/>
        </w:rPr>
        <w:t>320亿布局锂电池上游产业</w:t>
      </w:r>
    </w:p>
    <w:p w14:paraId="31942346" w14:textId="77777777" w:rsidR="0080124F" w:rsidRDefault="0080124F" w:rsidP="007B14C9">
      <w:r>
        <w:rPr>
          <w:rFonts w:hint="eastAsia"/>
        </w:rPr>
        <w:t>宁德时代发布公告称，其控股子公司计划在湖北省宜昌市投资建设一体化电池材料产业园项目，投资总额不超过</w:t>
      </w:r>
      <w:r>
        <w:t>320亿元，建设期为六年。新项目主要建设具备废旧电池材料回收、磷酸铁锂及三元锂电池材料的生产基地。</w:t>
      </w:r>
    </w:p>
    <w:p w14:paraId="4D4CB0A8" w14:textId="77777777" w:rsidR="0080124F" w:rsidRPr="003710C7" w:rsidRDefault="0080124F" w:rsidP="007B14C9">
      <w:pPr>
        <w:pStyle w:val="a8"/>
        <w:numPr>
          <w:ilvl w:val="3"/>
          <w:numId w:val="17"/>
        </w:numPr>
        <w:ind w:firstLineChars="0"/>
        <w:jc w:val="left"/>
        <w:outlineLvl w:val="1"/>
        <w:rPr>
          <w:b/>
        </w:rPr>
      </w:pPr>
      <w:r w:rsidRPr="003710C7">
        <w:rPr>
          <w:rFonts w:hint="eastAsia"/>
          <w:b/>
        </w:rPr>
        <w:t>上汽集团：全球首个万辆级氢能重卡产业链项目正式启动</w:t>
      </w:r>
    </w:p>
    <w:p w14:paraId="12220842" w14:textId="77777777" w:rsidR="0080124F" w:rsidRDefault="0080124F" w:rsidP="007B14C9">
      <w:r w:rsidRPr="009477A7">
        <w:rPr>
          <w:rFonts w:hint="eastAsia"/>
        </w:rPr>
        <w:t>上汽红岩汽车有限公司内蒙古分公司与内蒙古捷氢科技有限公司揭牌暨奠基仪式，在内蒙古鄂尔多斯市举行，标志着全球首个万辆级氢能重卡产业链项目正式启动。该项目投资金额逾</w:t>
      </w:r>
      <w:r w:rsidRPr="009477A7">
        <w:t>20亿元，以建设具有国际一流水准的现代化燃料电池重卡产业链为目标，预计建成后每年可减少近50万吨的二氧化碳排放。</w:t>
      </w:r>
    </w:p>
    <w:p w14:paraId="20F2FB9A" w14:textId="4B727FE0" w:rsidR="0080124F" w:rsidRPr="007D3343" w:rsidRDefault="0080124F" w:rsidP="007B14C9">
      <w:pPr>
        <w:pStyle w:val="a8"/>
        <w:numPr>
          <w:ilvl w:val="3"/>
          <w:numId w:val="17"/>
        </w:numPr>
        <w:ind w:firstLineChars="0"/>
        <w:jc w:val="left"/>
        <w:outlineLvl w:val="1"/>
        <w:rPr>
          <w:b/>
        </w:rPr>
      </w:pPr>
      <w:r w:rsidRPr="007D3343">
        <w:rPr>
          <w:b/>
        </w:rPr>
        <w:t>福特推出FordSelect专属品牌</w:t>
      </w:r>
    </w:p>
    <w:p w14:paraId="24AAF500" w14:textId="77777777" w:rsidR="0080124F" w:rsidRDefault="0080124F" w:rsidP="007B14C9">
      <w:r>
        <w:rPr>
          <w:rFonts w:hint="eastAsia"/>
        </w:rPr>
        <w:t>福特正式宣布在中国市场推出</w:t>
      </w:r>
      <w:r>
        <w:t>FordSelect高端智能电动车专属品牌，并同步启用全新标识，进一步升级用户体验，加速福特品牌电气化转型。将依托福特独立电动车直销网络进一步优化用户服务业务。FordSelect将为用户提专属客户对接、无忧充电等服务，打造线上线下结合体验。</w:t>
      </w:r>
    </w:p>
    <w:p w14:paraId="1F57E7C0" w14:textId="73F8D114" w:rsidR="0080124F" w:rsidRDefault="0080124F" w:rsidP="007B14C9">
      <w:pPr>
        <w:pStyle w:val="a8"/>
        <w:numPr>
          <w:ilvl w:val="3"/>
          <w:numId w:val="17"/>
        </w:numPr>
        <w:ind w:firstLineChars="0"/>
        <w:jc w:val="left"/>
        <w:outlineLvl w:val="1"/>
      </w:pPr>
      <w:r w:rsidRPr="003710C7">
        <w:rPr>
          <w:rFonts w:hint="eastAsia"/>
          <w:b/>
        </w:rPr>
        <w:t>蔚来合肥工厂年产能</w:t>
      </w:r>
      <w:r w:rsidRPr="003710C7">
        <w:rPr>
          <w:b/>
        </w:rPr>
        <w:t>2022年上半年将提升至30</w:t>
      </w:r>
      <w:r w:rsidR="006451EF">
        <w:rPr>
          <w:b/>
        </w:rPr>
        <w:t>万辆</w:t>
      </w:r>
    </w:p>
    <w:p w14:paraId="0A6277DC" w14:textId="7F718956" w:rsidR="0080124F" w:rsidRDefault="0080124F" w:rsidP="007B14C9">
      <w:r w:rsidRPr="00124E91">
        <w:t>江淮蔚来合肥制造基地生产线完成对车身、涂装、总装车间等的关键改造，为新车型导入和产能提升做好进一步准备。根据规划，此次产线整体升级将于2022年上半年全部完成，升级后可以将年产能提升至30</w:t>
      </w:r>
      <w:r w:rsidR="006451EF">
        <w:t>万辆</w:t>
      </w:r>
      <w:r w:rsidRPr="00124E91">
        <w:t>。</w:t>
      </w:r>
    </w:p>
    <w:p w14:paraId="666A6FC4" w14:textId="77777777" w:rsidR="0080124F" w:rsidRPr="003710C7" w:rsidRDefault="0080124F" w:rsidP="007B14C9">
      <w:pPr>
        <w:pStyle w:val="a8"/>
        <w:numPr>
          <w:ilvl w:val="3"/>
          <w:numId w:val="17"/>
        </w:numPr>
        <w:ind w:firstLineChars="0"/>
        <w:jc w:val="left"/>
        <w:outlineLvl w:val="1"/>
        <w:rPr>
          <w:b/>
        </w:rPr>
      </w:pPr>
      <w:r w:rsidRPr="003710C7">
        <w:rPr>
          <w:rFonts w:hint="eastAsia"/>
          <w:b/>
        </w:rPr>
        <w:t>小米任命李肖爽为小米汽车副总裁</w:t>
      </w:r>
    </w:p>
    <w:p w14:paraId="1C4E95EF" w14:textId="77777777" w:rsidR="0080124F" w:rsidRDefault="0080124F" w:rsidP="007B14C9">
      <w:r>
        <w:t>10月15日，小米集团发布内部公告，宣布组织调整及干部任命，任命李肖爽担任小米汽车副总裁，负责产品、供应链及市场相关工作，向小米汽车CEO雷军汇报。</w:t>
      </w:r>
    </w:p>
    <w:p w14:paraId="1C683A15" w14:textId="77777777" w:rsidR="0080124F" w:rsidRPr="00596220" w:rsidRDefault="0080124F" w:rsidP="007B14C9">
      <w:pPr>
        <w:pStyle w:val="a8"/>
        <w:numPr>
          <w:ilvl w:val="3"/>
          <w:numId w:val="17"/>
        </w:numPr>
        <w:ind w:firstLineChars="0"/>
        <w:jc w:val="left"/>
        <w:outlineLvl w:val="1"/>
        <w:rPr>
          <w:b/>
        </w:rPr>
      </w:pPr>
      <w:r w:rsidRPr="00596220">
        <w:rPr>
          <w:rFonts w:hint="eastAsia"/>
          <w:b/>
        </w:rPr>
        <w:t>小米投资赣锋锂电</w:t>
      </w:r>
      <w:r w:rsidRPr="00596220">
        <w:rPr>
          <w:b/>
        </w:rPr>
        <w:t>加码锂电池</w:t>
      </w:r>
    </w:p>
    <w:p w14:paraId="6588EA94" w14:textId="77777777" w:rsidR="0080124F" w:rsidRDefault="0080124F" w:rsidP="007B14C9">
      <w:r>
        <w:t>10月12日，江西赣锋锂电科技有限公司（赣锋锂电）新增多位股东，其中包括湖北小米长江产业基金合伙企业（有限合伙）。</w:t>
      </w:r>
    </w:p>
    <w:p w14:paraId="509C1D63" w14:textId="77777777" w:rsidR="0080124F" w:rsidRDefault="0080124F" w:rsidP="007B14C9">
      <w:r>
        <w:rPr>
          <w:rFonts w:hint="eastAsia"/>
        </w:rPr>
        <w:t>就投资动力电池这件事来看，一方面，小米是瞄准了潜力赛道，旨在通过投资成长型企业获得长期价值收益；另一方面，对于汽车行业而言，包括动力电池在内的核心零部件是构建完备的生态链的不可或缺的一环。</w:t>
      </w:r>
    </w:p>
    <w:p w14:paraId="3DB1B9B5" w14:textId="77777777" w:rsidR="0080124F" w:rsidRPr="00CC71EF" w:rsidRDefault="0080124F" w:rsidP="007B14C9">
      <w:pPr>
        <w:pStyle w:val="a8"/>
        <w:numPr>
          <w:ilvl w:val="3"/>
          <w:numId w:val="17"/>
        </w:numPr>
        <w:ind w:firstLineChars="0"/>
        <w:jc w:val="left"/>
        <w:outlineLvl w:val="1"/>
        <w:rPr>
          <w:b/>
        </w:rPr>
      </w:pPr>
      <w:r w:rsidRPr="00CC71EF">
        <w:rPr>
          <w:rFonts w:hint="eastAsia"/>
          <w:b/>
        </w:rPr>
        <w:t>小鹏第</w:t>
      </w:r>
      <w:r w:rsidRPr="00CC71EF">
        <w:rPr>
          <w:b/>
        </w:rPr>
        <w:t>10万辆整车下线</w:t>
      </w:r>
    </w:p>
    <w:p w14:paraId="662E3928" w14:textId="77777777" w:rsidR="0080124F" w:rsidRDefault="0080124F" w:rsidP="007B14C9">
      <w:r>
        <w:t>10月11日，小鹏汽车第10万辆整车于肇庆小鹏汽车智能网联科技产业园正式下线，这是继蔚来之后，又一新势力品牌量产数量突破10万辆。在目前下线的10万辆整车中，有相当大一部分是旗舰车型小鹏P7，根据官方数据，9月小鹏P7交付量达到7,512辆。</w:t>
      </w:r>
    </w:p>
    <w:p w14:paraId="20ADACCE" w14:textId="77777777" w:rsidR="0080124F" w:rsidRPr="00681B5F" w:rsidRDefault="0080124F" w:rsidP="007B14C9">
      <w:pPr>
        <w:pStyle w:val="a8"/>
        <w:numPr>
          <w:ilvl w:val="3"/>
          <w:numId w:val="17"/>
        </w:numPr>
        <w:ind w:firstLineChars="0"/>
        <w:jc w:val="left"/>
        <w:outlineLvl w:val="1"/>
        <w:rPr>
          <w:b/>
        </w:rPr>
      </w:pPr>
      <w:r w:rsidRPr="00681B5F">
        <w:rPr>
          <w:rFonts w:hint="eastAsia"/>
          <w:b/>
        </w:rPr>
        <w:t>长城汽车或将并购长征汽车正式进军重卡</w:t>
      </w:r>
    </w:p>
    <w:p w14:paraId="41CB1129" w14:textId="77777777" w:rsidR="0080124F" w:rsidRDefault="0080124F" w:rsidP="007B14C9">
      <w:r>
        <w:rPr>
          <w:rFonts w:hint="eastAsia"/>
        </w:rPr>
        <w:t>氢能重卡风口之下，传闻多时的长城汽车假道老牌重卡制造商长征汽车进入重卡领域的消息，终或落下实锤。</w:t>
      </w:r>
    </w:p>
    <w:p w14:paraId="265E1FD2" w14:textId="77777777" w:rsidR="0080124F" w:rsidRDefault="0080124F" w:rsidP="007B14C9">
      <w:r>
        <w:rPr>
          <w:rFonts w:hint="eastAsia"/>
        </w:rPr>
        <w:t>从河北产权市场官网获悉，河北长征汽车制造有限公司</w:t>
      </w:r>
      <w:r>
        <w:t>100%国有股权转让项目，已于9月30日正式挂牌，挂牌交易金额9.2亿元，报名截止日期为11月2日。</w:t>
      </w:r>
    </w:p>
    <w:p w14:paraId="4B96EADE" w14:textId="77777777" w:rsidR="0080124F" w:rsidRPr="00170A72" w:rsidRDefault="0080124F" w:rsidP="007B14C9">
      <w:pPr>
        <w:pStyle w:val="a8"/>
        <w:numPr>
          <w:ilvl w:val="3"/>
          <w:numId w:val="17"/>
        </w:numPr>
        <w:ind w:firstLineChars="0"/>
        <w:jc w:val="left"/>
        <w:outlineLvl w:val="1"/>
        <w:rPr>
          <w:b/>
        </w:rPr>
      </w:pPr>
      <w:r w:rsidRPr="00170A72">
        <w:rPr>
          <w:rFonts w:hint="eastAsia"/>
          <w:b/>
        </w:rPr>
        <w:t>长城汽车将收购日产西班牙工厂</w:t>
      </w:r>
    </w:p>
    <w:p w14:paraId="77BD2607" w14:textId="6DA72707" w:rsidR="0080124F" w:rsidRDefault="0080124F" w:rsidP="007B14C9">
      <w:r>
        <w:t>日产汽车计划将其西班牙巴塞罗那工厂出售给长城汽车，双方将就该事项进行谈判，力争10月内达成协议。</w:t>
      </w:r>
    </w:p>
    <w:p w14:paraId="40911E0C" w14:textId="77777777" w:rsidR="003773B7" w:rsidRDefault="003773B7" w:rsidP="007B14C9">
      <w:pPr>
        <w:rPr>
          <w:rFonts w:hint="eastAsia"/>
        </w:rPr>
      </w:pPr>
    </w:p>
    <w:p w14:paraId="3BE24553" w14:textId="77777777" w:rsidR="007B14C9" w:rsidRPr="00D02F70" w:rsidRDefault="007B14C9" w:rsidP="007B14C9">
      <w:pPr>
        <w:pStyle w:val="a8"/>
        <w:numPr>
          <w:ilvl w:val="0"/>
          <w:numId w:val="4"/>
        </w:numPr>
        <w:ind w:firstLineChars="0"/>
        <w:outlineLvl w:val="0"/>
        <w:rPr>
          <w:b/>
        </w:rPr>
      </w:pPr>
      <w:r>
        <w:rPr>
          <w:rFonts w:hint="eastAsia"/>
          <w:b/>
        </w:rPr>
        <w:t>行业信息</w:t>
      </w:r>
    </w:p>
    <w:p w14:paraId="3B82F7EF" w14:textId="5A8D0073" w:rsidR="00B75842" w:rsidRPr="003773B7" w:rsidRDefault="003773B7" w:rsidP="003773B7">
      <w:pPr>
        <w:outlineLvl w:val="1"/>
        <w:rPr>
          <w:b/>
        </w:rPr>
      </w:pPr>
      <w:r>
        <w:rPr>
          <w:b/>
        </w:rPr>
        <w:t>1.</w:t>
      </w:r>
      <w:r w:rsidR="00B75842" w:rsidRPr="003773B7">
        <w:rPr>
          <w:b/>
        </w:rPr>
        <w:t>1-8月全国二手车交易1139.15万辆</w:t>
      </w:r>
    </w:p>
    <w:p w14:paraId="2A6E710E" w14:textId="77777777" w:rsidR="00B75842" w:rsidRDefault="00B75842" w:rsidP="007B14C9">
      <w:r>
        <w:rPr>
          <w:rFonts w:hint="eastAsia"/>
        </w:rPr>
        <w:t>中国汽车流通协会近日发布的</w:t>
      </w:r>
      <w:r>
        <w:t>2021年8月全国二手车市场深度分析显示，全国二手车交易量为149.82万辆，同比去年增长12.08%，增速持续放缓。</w:t>
      </w:r>
    </w:p>
    <w:p w14:paraId="69F3E8C5" w14:textId="77777777" w:rsidR="00B75842" w:rsidRDefault="00B75842" w:rsidP="007B14C9">
      <w:r>
        <w:rPr>
          <w:rFonts w:hint="eastAsia"/>
        </w:rPr>
        <w:t>今年</w:t>
      </w:r>
      <w:r>
        <w:t>1-8月，二手车交易量为1139.15万辆，较去年同期增长40.38%，去年同期受疫情影响，全国二手车交易量为811万辆，参考19年同期数据，二手车交易量较19年同期增长了22.84%。</w:t>
      </w:r>
    </w:p>
    <w:p w14:paraId="3B95D373" w14:textId="09FEFE9F" w:rsidR="0080124F" w:rsidRPr="003773B7" w:rsidRDefault="003773B7" w:rsidP="003773B7">
      <w:pPr>
        <w:jc w:val="left"/>
        <w:outlineLvl w:val="1"/>
        <w:rPr>
          <w:b/>
        </w:rPr>
      </w:pPr>
      <w:r>
        <w:rPr>
          <w:rFonts w:hint="eastAsia"/>
          <w:b/>
        </w:rPr>
        <w:t>2</w:t>
      </w:r>
      <w:r>
        <w:rPr>
          <w:b/>
        </w:rPr>
        <w:t>.</w:t>
      </w:r>
      <w:r w:rsidR="0080124F" w:rsidRPr="003773B7">
        <w:rPr>
          <w:rFonts w:hint="eastAsia"/>
          <w:b/>
        </w:rPr>
        <w:t>金圆股份拟收购和锂锂业不低于</w:t>
      </w:r>
      <w:r w:rsidR="0080124F" w:rsidRPr="003773B7">
        <w:rPr>
          <w:b/>
        </w:rPr>
        <w:t>51%股权</w:t>
      </w:r>
    </w:p>
    <w:p w14:paraId="7DDDA622" w14:textId="77777777" w:rsidR="0080124F" w:rsidRDefault="0080124F" w:rsidP="0080124F">
      <w:r w:rsidRPr="00B30213">
        <w:t>10月12日，金圆股份发布公告称，公司全资子公司金圆新能源与和锂锂业及其股东签署《合作框架协议》，金圆新能源将收购和锂锂业不低于51%股权。</w:t>
      </w:r>
    </w:p>
    <w:p w14:paraId="736EF317" w14:textId="6214E3A2" w:rsidR="0080124F" w:rsidRPr="003773B7" w:rsidRDefault="003773B7" w:rsidP="003773B7">
      <w:pPr>
        <w:jc w:val="left"/>
        <w:outlineLvl w:val="1"/>
        <w:rPr>
          <w:b/>
        </w:rPr>
      </w:pPr>
      <w:r>
        <w:rPr>
          <w:rFonts w:hint="eastAsia"/>
          <w:b/>
        </w:rPr>
        <w:t>3</w:t>
      </w:r>
      <w:r>
        <w:rPr>
          <w:b/>
        </w:rPr>
        <w:t>.</w:t>
      </w:r>
      <w:r w:rsidR="0080124F" w:rsidRPr="003773B7">
        <w:rPr>
          <w:b/>
        </w:rPr>
        <w:t>华为申请“鸿车”商标</w:t>
      </w:r>
    </w:p>
    <w:p w14:paraId="02709E96" w14:textId="77777777" w:rsidR="0080124F" w:rsidRDefault="0080124F" w:rsidP="0080124F">
      <w:r>
        <w:rPr>
          <w:rFonts w:hint="eastAsia"/>
        </w:rPr>
        <w:t>华为技术有限公司在</w:t>
      </w:r>
      <w:r>
        <w:t>2021年9月30日申请了“鸿车”商标，该商标的归类为42类设计研究与9类科学仪器。目前商标状态处于“申请中”，推测该商标或与华为的鸿蒙系统在车端的应用有关。</w:t>
      </w:r>
    </w:p>
    <w:p w14:paraId="2303C863" w14:textId="109060B5" w:rsidR="0080124F" w:rsidRPr="003773B7" w:rsidRDefault="003773B7" w:rsidP="003773B7">
      <w:pPr>
        <w:jc w:val="left"/>
        <w:outlineLvl w:val="1"/>
        <w:rPr>
          <w:b/>
        </w:rPr>
      </w:pPr>
      <w:r>
        <w:rPr>
          <w:rFonts w:hint="eastAsia"/>
          <w:b/>
        </w:rPr>
        <w:t>4</w:t>
      </w:r>
      <w:r>
        <w:rPr>
          <w:b/>
        </w:rPr>
        <w:t>.</w:t>
      </w:r>
      <w:r w:rsidR="0080124F" w:rsidRPr="003773B7">
        <w:rPr>
          <w:rFonts w:hint="eastAsia"/>
          <w:b/>
        </w:rPr>
        <w:t>华为再成立四个军团</w:t>
      </w:r>
      <w:r w:rsidR="0080124F" w:rsidRPr="003773B7">
        <w:rPr>
          <w:b/>
        </w:rPr>
        <w:t>重点突破智能驾驶与新能源</w:t>
      </w:r>
    </w:p>
    <w:p w14:paraId="632B4B4A" w14:textId="77777777" w:rsidR="0080124F" w:rsidRDefault="0080124F" w:rsidP="0080124F">
      <w:r w:rsidRPr="00B30213">
        <w:t>10月11日，据腾讯新闻报道，华为于近日内部发文，正式成立海关和港口军团、智慧公路军团、数据中心能源军团和智能光伏军团。这是继今年4月首次成立煤矿军团后，华为再次组建军团组织。</w:t>
      </w:r>
    </w:p>
    <w:p w14:paraId="0E9071B3" w14:textId="3CB2960C" w:rsidR="0080124F" w:rsidRDefault="003773B7" w:rsidP="003773B7">
      <w:pPr>
        <w:jc w:val="left"/>
        <w:outlineLvl w:val="1"/>
      </w:pPr>
      <w:r>
        <w:rPr>
          <w:rFonts w:hint="eastAsia"/>
          <w:b/>
        </w:rPr>
        <w:t>5</w:t>
      </w:r>
      <w:r>
        <w:rPr>
          <w:b/>
        </w:rPr>
        <w:t>.</w:t>
      </w:r>
      <w:r w:rsidR="0080124F" w:rsidRPr="003773B7">
        <w:rPr>
          <w:rFonts w:hint="eastAsia"/>
          <w:b/>
        </w:rPr>
        <w:t>蜂巢能源常州总部新建</w:t>
      </w:r>
      <w:r w:rsidR="0080124F" w:rsidRPr="003773B7">
        <w:rPr>
          <w:b/>
        </w:rPr>
        <w:t>40GWh新能源电池项目</w:t>
      </w:r>
    </w:p>
    <w:p w14:paraId="566692C1" w14:textId="77777777" w:rsidR="0080124F" w:rsidRDefault="0080124F" w:rsidP="0080124F">
      <w:r>
        <w:t>10月9日，蜂巢能源与常州市金坛区人民政府签署新增投资150亿元合作协议，进一步强化常州的总部经济功能。</w:t>
      </w:r>
    </w:p>
    <w:p w14:paraId="3818CED4" w14:textId="77777777" w:rsidR="0080124F" w:rsidRDefault="0080124F" w:rsidP="0080124F">
      <w:r>
        <w:rPr>
          <w:rFonts w:hint="eastAsia"/>
        </w:rPr>
        <w:t>根据投资协议，蜂巢能源计划在金坛新增投资约</w:t>
      </w:r>
      <w:r>
        <w:t>150亿元人民币，主要建设年产约40GWh新能源电池项目。项目规划用地约1100亩，分为两期建设。截止目前，蜂巢能源总产能规划已超200GWh，其中在常州金坛园区规划投资已达230亿元，是蜂巢能源目前投资金额最大的地区。</w:t>
      </w:r>
    </w:p>
    <w:p w14:paraId="731221FC" w14:textId="59173501" w:rsidR="0080124F" w:rsidRDefault="003773B7" w:rsidP="003773B7">
      <w:pPr>
        <w:jc w:val="left"/>
        <w:outlineLvl w:val="1"/>
      </w:pPr>
      <w:r>
        <w:rPr>
          <w:rFonts w:hint="eastAsia"/>
          <w:b/>
        </w:rPr>
        <w:t>6</w:t>
      </w:r>
      <w:r>
        <w:rPr>
          <w:b/>
        </w:rPr>
        <w:t>.</w:t>
      </w:r>
      <w:r w:rsidR="0080124F" w:rsidRPr="003773B7">
        <w:rPr>
          <w:rFonts w:hint="eastAsia"/>
          <w:b/>
        </w:rPr>
        <w:t>京威股份拟建</w:t>
      </w:r>
      <w:r w:rsidR="0080124F" w:rsidRPr="003773B7">
        <w:rPr>
          <w:b/>
        </w:rPr>
        <w:t>10GWh锂电项目一期投资8亿元</w:t>
      </w:r>
    </w:p>
    <w:p w14:paraId="19AEBA9C" w14:textId="77777777" w:rsidR="0080124F" w:rsidRDefault="0080124F" w:rsidP="0080124F">
      <w:r w:rsidRPr="00016C2F">
        <w:t>10月11日，京威股份发布公告称，拟规划建设10GWh锂电池项目，产品将应用于新能源车动力系统和储能系统。</w:t>
      </w:r>
    </w:p>
    <w:p w14:paraId="222FA6BE" w14:textId="49A40380" w:rsidR="00B75842" w:rsidRPr="003773B7" w:rsidRDefault="003773B7" w:rsidP="003773B7">
      <w:pPr>
        <w:outlineLvl w:val="1"/>
        <w:rPr>
          <w:b/>
        </w:rPr>
      </w:pPr>
      <w:r>
        <w:rPr>
          <w:b/>
        </w:rPr>
        <w:t>7.</w:t>
      </w:r>
      <w:r w:rsidR="00B75842" w:rsidRPr="003773B7">
        <w:rPr>
          <w:b/>
        </w:rPr>
        <w:t>2021年三季度新注册机动车883万辆</w:t>
      </w:r>
    </w:p>
    <w:p w14:paraId="191C9494" w14:textId="77777777" w:rsidR="00B75842" w:rsidRDefault="00B75842" w:rsidP="007B14C9">
      <w:r>
        <w:rPr>
          <w:rFonts w:hint="eastAsia"/>
        </w:rPr>
        <w:t>据公安部统计，截至</w:t>
      </w:r>
      <w:r>
        <w:t>2021年9月，全国机动车保有量达3.90亿辆，其中汽车2.97亿辆；机动车驾驶人4.76亿人，其中汽车驾驶人4.39亿人。2021年三季度全国新注册登记机动车883万辆，新领证驾驶人972万人。</w:t>
      </w:r>
    </w:p>
    <w:p w14:paraId="787CA52A" w14:textId="77777777" w:rsidR="00B75842" w:rsidRDefault="00B75842" w:rsidP="007B14C9">
      <w:r>
        <w:t>2021年前三季度，全国新注册登记机动车2753万辆，同比增加436.3万辆，增长18.83%。分季度看，一季度新注册登记机动车966万辆，同比增长67.31%；二季度新注册登记机动车904万辆，同比增长8.19%；三季度新注册登记机动车883万辆，同比下降2.29%。</w:t>
      </w:r>
    </w:p>
    <w:p w14:paraId="2432F8F8" w14:textId="0C3958BC" w:rsidR="00B75842" w:rsidRPr="003773B7" w:rsidRDefault="003773B7" w:rsidP="003773B7">
      <w:pPr>
        <w:outlineLvl w:val="1"/>
        <w:rPr>
          <w:b/>
        </w:rPr>
      </w:pPr>
      <w:r>
        <w:rPr>
          <w:rFonts w:hint="eastAsia"/>
          <w:b/>
        </w:rPr>
        <w:t>8</w:t>
      </w:r>
      <w:r>
        <w:rPr>
          <w:b/>
        </w:rPr>
        <w:t>.</w:t>
      </w:r>
      <w:r w:rsidR="00B75842" w:rsidRPr="003773B7">
        <w:rPr>
          <w:rFonts w:hint="eastAsia"/>
          <w:b/>
        </w:rPr>
        <w:t>公安部：全国新能源汽车保有量达</w:t>
      </w:r>
      <w:r w:rsidR="00B75842" w:rsidRPr="003773B7">
        <w:rPr>
          <w:b/>
        </w:rPr>
        <w:t>678万辆</w:t>
      </w:r>
    </w:p>
    <w:p w14:paraId="528619C2" w14:textId="77777777" w:rsidR="00B75842" w:rsidRDefault="00B75842" w:rsidP="007B14C9">
      <w:r>
        <w:t>10月12日，据公安部交通管理局，截至2021年9月，全国机动车保有量达3.90亿辆，其中汽车2.97亿辆；全国机动车驾驶人数量达4.76亿人，其中汽车驾驶人4.39亿人，占驾驶人总数的92.14%。截至9月，全国新能源汽车保有量达678万辆，占汽车总量的2.28%。</w:t>
      </w:r>
    </w:p>
    <w:p w14:paraId="6084F598" w14:textId="1B909445" w:rsidR="00B75842" w:rsidRPr="003773B7" w:rsidRDefault="003773B7" w:rsidP="003773B7">
      <w:pPr>
        <w:outlineLvl w:val="1"/>
        <w:rPr>
          <w:b/>
        </w:rPr>
      </w:pPr>
      <w:r>
        <w:rPr>
          <w:rFonts w:hint="eastAsia"/>
          <w:b/>
        </w:rPr>
        <w:t>9</w:t>
      </w:r>
      <w:r>
        <w:rPr>
          <w:b/>
        </w:rPr>
        <w:t>.</w:t>
      </w:r>
      <w:r w:rsidR="00B75842" w:rsidRPr="003773B7">
        <w:rPr>
          <w:rFonts w:hint="eastAsia"/>
          <w:b/>
        </w:rPr>
        <w:t>关于2016-2018年度新能源汽车推广应用补助资金清算审核终审和2019-2020年度补助资金预拨审核情况的公示</w:t>
      </w:r>
    </w:p>
    <w:p w14:paraId="67CEB696" w14:textId="77777777" w:rsidR="00B75842" w:rsidRDefault="00B75842" w:rsidP="00152EBA">
      <w:r>
        <w:rPr>
          <w:rFonts w:hint="eastAsia"/>
        </w:rPr>
        <w:t>10月11日，工业和信息化部装备工业一司公布《关于2016-2018年度新能源汽车推广应用补助资金清算审核终审和2019-2020年度补助资金预拨审核情况的公示》。</w:t>
      </w:r>
    </w:p>
    <w:p w14:paraId="003F87B1" w14:textId="77777777" w:rsidR="00B75842" w:rsidRDefault="00B75842" w:rsidP="00152EBA">
      <w:r>
        <w:rPr>
          <w:rFonts w:hint="eastAsia"/>
        </w:rPr>
        <w:t>公示称，按照财政部、工业和信息化部、科技部、发展改革委《关于2016-2020年新能源汽车推广应用财政支持政策的通知》（财建〔2015〕134号）、《关于开展2016-2020年度新能源汽车推广应用补助资金清算的通知》（财办建〔2021〕40号）等文件要求，工业和信息化部装备工业一司委托工业和信息化部通信清算中心开展了2016-2018年度新能源汽车推广应用补助资金清算审核和2019-2020年度补助资金预拨审核工作。现将审核结果予以公示，请社会各界监督，如有异议，请在公示期内将意见反馈至装备工业一司。</w:t>
      </w:r>
    </w:p>
    <w:p w14:paraId="204533B2" w14:textId="77777777" w:rsidR="00B75842" w:rsidRDefault="00B75842" w:rsidP="00152EBA">
      <w:r>
        <w:rPr>
          <w:rFonts w:hint="eastAsia"/>
        </w:rPr>
        <w:t>公示时间：2021年10月11日至10月17日。</w:t>
      </w:r>
    </w:p>
    <w:p w14:paraId="19DCF575" w14:textId="77777777" w:rsidR="00B75842" w:rsidRDefault="00B75842" w:rsidP="00152EBA">
      <w:r>
        <w:rPr>
          <w:rFonts w:hint="eastAsia"/>
        </w:rPr>
        <w:t>2016-2018年度新能源汽车推广应用补助资金清算审核终审和2019-2020年度补助资金预拨审核情况，详见原文附件1至附件4。</w:t>
      </w:r>
    </w:p>
    <w:p w14:paraId="2B78846D" w14:textId="21184885" w:rsidR="00B75842" w:rsidRPr="003773B7" w:rsidRDefault="003773B7" w:rsidP="003773B7">
      <w:pPr>
        <w:outlineLvl w:val="1"/>
        <w:rPr>
          <w:b/>
        </w:rPr>
      </w:pPr>
      <w:r>
        <w:rPr>
          <w:rFonts w:hint="eastAsia"/>
          <w:b/>
        </w:rPr>
        <w:t>1</w:t>
      </w:r>
      <w:r>
        <w:rPr>
          <w:b/>
        </w:rPr>
        <w:t>0.</w:t>
      </w:r>
      <w:r w:rsidR="00B75842" w:rsidRPr="003773B7">
        <w:rPr>
          <w:rFonts w:hint="eastAsia"/>
          <w:b/>
        </w:rPr>
        <w:t>关于2021年度双积分核算有关事项的通知</w:t>
      </w:r>
    </w:p>
    <w:p w14:paraId="497D210A" w14:textId="77777777" w:rsidR="00B75842" w:rsidRDefault="00B75842" w:rsidP="00152EBA">
      <w:r>
        <w:rPr>
          <w:rFonts w:hint="eastAsia"/>
        </w:rPr>
        <w:t>10月12日，工业和信息化部装备工业发展中心印发《关于2021年度双积分核算有关事项的通知》。</w:t>
      </w:r>
    </w:p>
    <w:p w14:paraId="6069557F" w14:textId="77777777" w:rsidR="00B75842" w:rsidRDefault="00B75842" w:rsidP="00152EBA">
      <w:r>
        <w:rPr>
          <w:rFonts w:hint="eastAsia"/>
        </w:rPr>
        <w:t>通知称，GB19578—2021《乘用车燃料消耗量限值》、GB/T19233—2020《轻型汽车燃料消耗量试验方法》、GB/T18386.1—2021《电动汽车能量消耗量和续驶里程试验方法第1部分：轻型汽车》、GB/T19753—2021《轻型混合动力电动汽车能量消耗量试验方法》、GB/T32694—2021《插电式混合动力电动乘用车技术条件》等标准已发布，为做好标准实施与积分管理的有效衔接，经请示工业和信息化部装备工业一司同意，现将2021年度积分核算相关事项通知如下：</w:t>
      </w:r>
    </w:p>
    <w:p w14:paraId="4401D34F" w14:textId="77777777" w:rsidR="00B75842" w:rsidRDefault="00B75842" w:rsidP="00152EBA">
      <w:r>
        <w:rPr>
          <w:rFonts w:hint="eastAsia"/>
        </w:rPr>
        <w:t>一、传统能源乘用车</w:t>
      </w:r>
    </w:p>
    <w:p w14:paraId="1514664D" w14:textId="77777777" w:rsidR="00B75842" w:rsidRDefault="00B75842" w:rsidP="00152EBA">
      <w:r>
        <w:rPr>
          <w:rFonts w:hint="eastAsia"/>
        </w:rPr>
        <w:t>传统能源乘用车采用WLTC工况确定车型燃料消耗量，企业可按照GB/T19233—2020（普通混合动力按照GB/T19753—2021）进行检验或按照标准要求利用国六排放检验测试数据确定，并自行填报数值。国产车应按照装备中心〔2021〕132号文件要求，在《公告》系统中填报“WLTC燃料消耗量”或“WLTC燃料消耗量核算值”数值；进口车应在积分管理平台中填报相应参数值。填报截止时间为2021年12月31日。</w:t>
      </w:r>
    </w:p>
    <w:p w14:paraId="4AA56154" w14:textId="77777777" w:rsidR="00B75842" w:rsidRDefault="00B75842" w:rsidP="00152EBA">
      <w:r>
        <w:rPr>
          <w:rFonts w:hint="eastAsia"/>
        </w:rPr>
        <w:t>二、插电式混合动力乘用车</w:t>
      </w:r>
    </w:p>
    <w:p w14:paraId="4593A6B0" w14:textId="77777777" w:rsidR="00B75842" w:rsidRDefault="00B75842" w:rsidP="00152EBA">
      <w:r>
        <w:rPr>
          <w:rFonts w:hint="eastAsia"/>
        </w:rPr>
        <w:t>插电式混合动力乘用车采用WLTC工况确定车型燃料消耗量、电能消耗量及纯电续驶里程。国产车应按照装备中心〔2021〕132号文件要求，在《公告》系统中填报“WLTC燃料消耗量”（或“WLTC燃料消耗量核算值”）“WLTC燃料消耗量（CS）”“WLTC电量消耗量（CD）”“WLTC续驶里程”等数值；进口车应在积分管理平台中，填写相应参数值。填报截止时间为2021年12月31日。</w:t>
      </w:r>
    </w:p>
    <w:p w14:paraId="4C6E793D" w14:textId="77777777" w:rsidR="00B75842" w:rsidRDefault="00B75842" w:rsidP="00152EBA">
      <w:r>
        <w:rPr>
          <w:rFonts w:hint="eastAsia"/>
        </w:rPr>
        <w:t>2021年10月1日前获得型式批准或进口并且满足GB/T32694—2016要求的插电式混合动力乘用车，在2023年1月1日之前可以获得1.6分的标准车型积分，具体积分倍数按照《关于修改〈乘用车企业平均燃料消耗量与新能源汽车积分并行管理办法〉的决定》（工业和信息化部财政部商务部海关总署市场监督管理总局令第53号）要求执行。</w:t>
      </w:r>
    </w:p>
    <w:p w14:paraId="452E080E" w14:textId="77777777" w:rsidR="00B75842" w:rsidRDefault="00B75842" w:rsidP="00152EBA">
      <w:r>
        <w:rPr>
          <w:rFonts w:hint="eastAsia"/>
        </w:rPr>
        <w:t>三、纯电动乘用车</w:t>
      </w:r>
    </w:p>
    <w:p w14:paraId="11F7D456" w14:textId="77777777" w:rsidR="00B75842" w:rsidRDefault="00B75842" w:rsidP="00152EBA">
      <w:r>
        <w:rPr>
          <w:rFonts w:hint="eastAsia"/>
        </w:rPr>
        <w:t>纯电动乘用车可选择按NEDC工况或CLTC工况确定车型电能消耗量和续驶里程。选择NEDC工况的，应按照GB/T18386-2017进行试验；选择CLTC工况的，应按照GB/T18386.1-2021进行试验。国产车应在《公告》系统中对应填报“工况条件下百公里耗电量”“电动汽车续驶里程（工况法）”数值或“CLTC能量消耗量”、“CLTC续驶里程”“动力电池系统能量密度”等数值；进口车在积分管理平台中依据选择工况填写相应参数值。填报截止时间为2021年12月31日。</w:t>
      </w:r>
    </w:p>
    <w:p w14:paraId="590CEF71" w14:textId="2BE62B8E" w:rsidR="00B75842" w:rsidRPr="003773B7" w:rsidRDefault="003773B7" w:rsidP="003773B7">
      <w:pPr>
        <w:outlineLvl w:val="1"/>
        <w:rPr>
          <w:b/>
        </w:rPr>
      </w:pPr>
      <w:r>
        <w:rPr>
          <w:rFonts w:hint="eastAsia"/>
          <w:b/>
        </w:rPr>
        <w:t>1</w:t>
      </w:r>
      <w:r>
        <w:rPr>
          <w:b/>
        </w:rPr>
        <w:t>1.</w:t>
      </w:r>
      <w:r w:rsidR="00B75842" w:rsidRPr="003773B7">
        <w:rPr>
          <w:rFonts w:hint="eastAsia"/>
          <w:b/>
        </w:rPr>
        <w:t>黄石市发布支持乘用车消费若干措施实施方案</w:t>
      </w:r>
    </w:p>
    <w:p w14:paraId="604AAC13" w14:textId="77777777" w:rsidR="00B75842" w:rsidRDefault="00B75842" w:rsidP="007B14C9">
      <w:r>
        <w:rPr>
          <w:rFonts w:hint="eastAsia"/>
        </w:rPr>
        <w:t>黄石市省经信厅联合省发改委等九部门印发制定了《黄石市支持乘用车消费若干措施实施方案》，方案指出报废旧乘用车，购买新能源乘用车的在使用环节补贴资金</w:t>
      </w:r>
      <w:r>
        <w:t>5,000元/辆；购买燃油乘用车的补贴3,000元/辆。</w:t>
      </w:r>
    </w:p>
    <w:p w14:paraId="14500397" w14:textId="7A7EBEA3" w:rsidR="00B75842" w:rsidRDefault="003773B7" w:rsidP="003773B7">
      <w:pPr>
        <w:outlineLvl w:val="1"/>
      </w:pPr>
      <w:r>
        <w:rPr>
          <w:rFonts w:hint="eastAsia"/>
          <w:b/>
        </w:rPr>
        <w:t>1</w:t>
      </w:r>
      <w:r>
        <w:rPr>
          <w:b/>
        </w:rPr>
        <w:t>2.</w:t>
      </w:r>
      <w:r w:rsidR="00B75842" w:rsidRPr="003773B7">
        <w:rPr>
          <w:rFonts w:hint="eastAsia"/>
          <w:b/>
        </w:rPr>
        <w:t>汽车智能化不止自动驾驶</w:t>
      </w:r>
      <w:r w:rsidR="00B75842" w:rsidRPr="003773B7">
        <w:rPr>
          <w:b/>
        </w:rPr>
        <w:t>智慧新能源系统需提上日程</w:t>
      </w:r>
    </w:p>
    <w:p w14:paraId="5CA663FD" w14:textId="77777777" w:rsidR="00B75842" w:rsidRDefault="00B75842" w:rsidP="007B14C9">
      <w:r>
        <w:rPr>
          <w:rFonts w:hint="eastAsia"/>
        </w:rPr>
        <w:t>举行的电动汽车百人会研讨会上，中国工程院院士欧阳明高提出，汽车行业的系统智能化不仅要关注自动驾驶技术发展，还要关注新能源汽车与新能源电力系统的融合互动，建立氢</w:t>
      </w:r>
      <w:r>
        <w:t>-电智慧新能源系统。随着新能源汽车保有量的快速增长，电动汽车充电负荷带来的电力需求必将给电力系统带来较大负担。电动化浪潮不断袭来，汽车的概念开始逐渐从单一的交通工具衍生出更丰富的内涵，“大型移动充电宝”便是其新身份之一。今年7月，河南雨灾期间，郑州市众多小区出现停电现象。比亚迪车主们便运用反向充电功能，自发成立了“供电小分队”，为小区居民赋能充电</w:t>
      </w:r>
      <w:r>
        <w:rPr>
          <w:rFonts w:hint="eastAsia"/>
        </w:rPr>
        <w:t>，确保通讯畅通。</w:t>
      </w:r>
      <w:r>
        <w:t>当汽车成为移动储能装置，它不仅能实现车对车、车对负载的对外放电，同样可以让汽车与电网的双向互动场景成为现实。V2G（VehicletoGrid）技术便意指电动汽车给电网送电的双向互联技术。欧阳明高指出，智慧新能源系统的建立，离不开V2G技术的应用。</w:t>
      </w:r>
    </w:p>
    <w:p w14:paraId="78330A53" w14:textId="47AA6AD1" w:rsidR="00B75842" w:rsidRPr="003773B7" w:rsidRDefault="003773B7" w:rsidP="003773B7">
      <w:pPr>
        <w:outlineLvl w:val="1"/>
        <w:rPr>
          <w:b/>
        </w:rPr>
      </w:pPr>
      <w:r>
        <w:rPr>
          <w:rFonts w:hint="eastAsia"/>
          <w:b/>
        </w:rPr>
        <w:t>1</w:t>
      </w:r>
      <w:r>
        <w:rPr>
          <w:b/>
        </w:rPr>
        <w:t>3.</w:t>
      </w:r>
      <w:r w:rsidR="00B75842" w:rsidRPr="003773B7">
        <w:rPr>
          <w:rFonts w:hint="eastAsia"/>
          <w:b/>
        </w:rPr>
        <w:t>上海车险综合改革一周年</w:t>
      </w:r>
      <w:r w:rsidR="00B75842" w:rsidRPr="003773B7">
        <w:rPr>
          <w:b/>
        </w:rPr>
        <w:t>:向消费者让利20亿元</w:t>
      </w:r>
    </w:p>
    <w:p w14:paraId="59200877" w14:textId="77777777" w:rsidR="00B75842" w:rsidRDefault="00B75842" w:rsidP="007B14C9">
      <w:r>
        <w:rPr>
          <w:rFonts w:hint="eastAsia"/>
        </w:rPr>
        <w:t>从上海银保监局获悉，根据数据回溯结果，车险综改一周年，上海市累计承保车辆</w:t>
      </w:r>
      <w:r>
        <w:t>560.47万辆（商业车险口径），累计赔款162.7亿元（平均每个工作日6500万元），处理理赔案件99万件。主要体现在三方面：</w:t>
      </w:r>
    </w:p>
    <w:p w14:paraId="3CF18FE0" w14:textId="77777777" w:rsidR="00B75842" w:rsidRDefault="00B75842" w:rsidP="007B14C9">
      <w:r>
        <w:rPr>
          <w:rFonts w:hint="eastAsia"/>
        </w:rPr>
        <w:t>一是“降价”减轻消费者保费负担和续保成本；二是“增保”扩大消费者保障范围和保障金额。三是“提质”加大服务消费者的能力建设和资源投入。</w:t>
      </w:r>
    </w:p>
    <w:p w14:paraId="1A296BA1" w14:textId="6FD09EC7" w:rsidR="00B75842" w:rsidRDefault="00B75842" w:rsidP="007B14C9">
      <w:r>
        <w:rPr>
          <w:rFonts w:hint="eastAsia"/>
        </w:rPr>
        <w:t>同时，上海银保监局指导上海财险业积极落实国家支持新能源车产业发展战略，满足新能源车车主保险需求。</w:t>
      </w:r>
    </w:p>
    <w:p w14:paraId="316823BE" w14:textId="77777777" w:rsidR="003773B7" w:rsidRDefault="003773B7" w:rsidP="007B14C9">
      <w:pPr>
        <w:rPr>
          <w:rFonts w:hint="eastAsia"/>
        </w:rPr>
      </w:pPr>
    </w:p>
    <w:p w14:paraId="50BFA939" w14:textId="77777777" w:rsidR="007B14C9" w:rsidRPr="00CC5738" w:rsidRDefault="007B14C9" w:rsidP="007B14C9">
      <w:pPr>
        <w:pStyle w:val="a8"/>
        <w:numPr>
          <w:ilvl w:val="0"/>
          <w:numId w:val="4"/>
        </w:numPr>
        <w:ind w:firstLineChars="0"/>
        <w:outlineLvl w:val="0"/>
        <w:rPr>
          <w:b/>
        </w:rPr>
      </w:pPr>
      <w:r w:rsidRPr="002009FE">
        <w:rPr>
          <w:rFonts w:cs="宋体" w:hint="eastAsia"/>
          <w:b/>
          <w:bCs/>
        </w:rPr>
        <w:t>跨国集团和国际市场</w:t>
      </w:r>
    </w:p>
    <w:p w14:paraId="6BE401BA" w14:textId="77777777" w:rsidR="00EB4406" w:rsidRPr="005B266E" w:rsidRDefault="00EB4406" w:rsidP="007B14C9">
      <w:pPr>
        <w:pStyle w:val="a8"/>
        <w:numPr>
          <w:ilvl w:val="0"/>
          <w:numId w:val="21"/>
        </w:numPr>
        <w:ind w:firstLineChars="0"/>
        <w:outlineLvl w:val="1"/>
        <w:rPr>
          <w:b/>
        </w:rPr>
      </w:pPr>
      <w:r w:rsidRPr="005B266E">
        <w:rPr>
          <w:b/>
        </w:rPr>
        <w:t>Fisker证实委由富士康生产旗下电动车目标年销量最高达25万辆</w:t>
      </w:r>
    </w:p>
    <w:p w14:paraId="25233282" w14:textId="77777777" w:rsidR="00EB4406" w:rsidRDefault="00EB4406" w:rsidP="007B14C9">
      <w:r>
        <w:rPr>
          <w:rFonts w:hint="eastAsia"/>
        </w:rPr>
        <w:t>美国电动车新创公司</w:t>
      </w:r>
      <w:r>
        <w:t>Fisker证实，旗下一款电动车将委由富士康俄亥俄州工厂生产，目前富士康正在收购该工厂的过程中。按照计划，这款电动车最快2024年投产，目标年销量与产量最高达25万辆。据称这款车售价低于30,000美元，代号为“ProjectPear”。</w:t>
      </w:r>
    </w:p>
    <w:p w14:paraId="7B34883B" w14:textId="77777777" w:rsidR="00EB4406" w:rsidRPr="00B12F1F" w:rsidRDefault="00EB4406" w:rsidP="007B14C9">
      <w:pPr>
        <w:pStyle w:val="a8"/>
        <w:numPr>
          <w:ilvl w:val="0"/>
          <w:numId w:val="21"/>
        </w:numPr>
        <w:ind w:firstLineChars="0"/>
        <w:outlineLvl w:val="1"/>
        <w:rPr>
          <w:b/>
        </w:rPr>
      </w:pPr>
      <w:r w:rsidRPr="00B12F1F">
        <w:rPr>
          <w:b/>
        </w:rPr>
        <w:t>SK将与美国制氢企业Monolith成立合资公司</w:t>
      </w:r>
    </w:p>
    <w:p w14:paraId="295B397F" w14:textId="77777777" w:rsidR="00EB4406" w:rsidRDefault="00EB4406" w:rsidP="007B14C9">
      <w:r>
        <w:t>10月13日，韩国SK公司表示，已与美国氢气制造商MonolithMaterials签署了谅解备忘录(MOU)。两家公司将成立一家合资公司，在韩国生产绿色氢和炭黑产品，以促进SK清洁能源业务的发展。</w:t>
      </w:r>
    </w:p>
    <w:p w14:paraId="2BB9837F" w14:textId="77777777" w:rsidR="00EB4406" w:rsidRDefault="00EB4406" w:rsidP="007B14C9">
      <w:r>
        <w:t>Monolith将提供技术和培训；SK将负责产品的生产、销售和流通。</w:t>
      </w:r>
    </w:p>
    <w:p w14:paraId="06F6681F" w14:textId="77777777" w:rsidR="00EB4406" w:rsidRDefault="00EB4406" w:rsidP="007B14C9">
      <w:r>
        <w:t>Monolith公司于2012年成立，总部位于美国内布拉斯加州，是第一家生产一种独特的绿色氢的美国制造商。</w:t>
      </w:r>
    </w:p>
    <w:p w14:paraId="7D4D09C3" w14:textId="77777777" w:rsidR="00EB4406" w:rsidRPr="0001095E" w:rsidRDefault="00EB4406" w:rsidP="007B14C9">
      <w:pPr>
        <w:pStyle w:val="a8"/>
        <w:numPr>
          <w:ilvl w:val="0"/>
          <w:numId w:val="21"/>
        </w:numPr>
        <w:ind w:firstLineChars="0"/>
        <w:outlineLvl w:val="1"/>
        <w:rPr>
          <w:b/>
        </w:rPr>
      </w:pPr>
      <w:r w:rsidRPr="0001095E">
        <w:rPr>
          <w:b/>
        </w:rPr>
        <w:t>Stellantis都灵工厂将变成电动汽车生产中心</w:t>
      </w:r>
    </w:p>
    <w:p w14:paraId="0F7C6ADD" w14:textId="77777777" w:rsidR="00EB4406" w:rsidRDefault="00EB4406" w:rsidP="007B14C9">
      <w:r>
        <w:t>Stellantis计划对其位于意大利都灵的米拉菲奥里工厂进行改造，将其变成一座电动汽车生产中心，另外该公司还将在这里生产两款玛莎拉蒂轿车。此举旨在提高效率与保障就业，当前该公司正在进行电动化转型，希望销售更多的电动汽车。</w:t>
      </w:r>
    </w:p>
    <w:p w14:paraId="331C5EDA" w14:textId="77777777" w:rsidR="00EB4406" w:rsidRDefault="00EB4406" w:rsidP="007B14C9">
      <w:r>
        <w:t>Stellantis将为米拉菲奥里工厂提供一个新的电动化平台，并在2022至2024年间开始生产玛莎拉蒂轿车，这将使该工厂成为Stellantis的电动化中心。Stellantis表示，未来将把更多与电动化相关的生产工作分配给米拉菲奥里工厂。</w:t>
      </w:r>
    </w:p>
    <w:p w14:paraId="6F1B7FCB" w14:textId="77777777" w:rsidR="00EB4406" w:rsidRDefault="00EB4406" w:rsidP="007B14C9">
      <w:pPr>
        <w:pStyle w:val="a8"/>
        <w:numPr>
          <w:ilvl w:val="0"/>
          <w:numId w:val="21"/>
        </w:numPr>
        <w:ind w:firstLineChars="0"/>
        <w:outlineLvl w:val="1"/>
      </w:pPr>
      <w:r w:rsidRPr="00725B94">
        <w:rPr>
          <w:b/>
        </w:rPr>
        <w:t>Stellantis投资2.29亿美元加速电动化转型</w:t>
      </w:r>
    </w:p>
    <w:p w14:paraId="0D02946C" w14:textId="77777777" w:rsidR="00EB4406" w:rsidRDefault="00EB4406" w:rsidP="007B14C9">
      <w:r>
        <w:rPr>
          <w:rFonts w:hint="eastAsia"/>
        </w:rPr>
        <w:t>有海外媒体发布了一组信息，</w:t>
      </w:r>
      <w:r>
        <w:t>Stellantis集团宣布将在美国印第安纳州科科莫的三座工厂投资2.29亿美元，以帮助到2030年实现在美国降低汽车排放40%的目标。</w:t>
      </w:r>
    </w:p>
    <w:p w14:paraId="3704A882" w14:textId="77777777" w:rsidR="00EB4406" w:rsidRDefault="00EB4406" w:rsidP="007B14C9">
      <w:r>
        <w:rPr>
          <w:rFonts w:hint="eastAsia"/>
        </w:rPr>
        <w:t>由于现金注入，三家工厂将会进行升级改造，以便生产第四代八速变速箱。这款变速箱可以与内燃机、轻度混合动力和插电式混合动力装置搭配使用，将用于吉普、公羊、克莱斯勒和道奇等品牌的车型。</w:t>
      </w:r>
    </w:p>
    <w:p w14:paraId="06623941" w14:textId="77777777" w:rsidR="00EB4406" w:rsidRPr="0019734C" w:rsidRDefault="00EB4406" w:rsidP="007B14C9">
      <w:pPr>
        <w:pStyle w:val="a8"/>
        <w:numPr>
          <w:ilvl w:val="0"/>
          <w:numId w:val="21"/>
        </w:numPr>
        <w:ind w:firstLineChars="0"/>
        <w:outlineLvl w:val="1"/>
        <w:rPr>
          <w:b/>
        </w:rPr>
      </w:pPr>
      <w:r w:rsidRPr="0019734C">
        <w:rPr>
          <w:rFonts w:hint="eastAsia"/>
          <w:b/>
        </w:rPr>
        <w:t>宝马将为欧盟</w:t>
      </w:r>
      <w:r w:rsidRPr="0019734C">
        <w:rPr>
          <w:b/>
        </w:rPr>
        <w:t>2030年内燃机汽车禁令做好准备</w:t>
      </w:r>
    </w:p>
    <w:p w14:paraId="013B33BB" w14:textId="77777777" w:rsidR="00EB4406" w:rsidRDefault="00EB4406" w:rsidP="007B14C9">
      <w:r>
        <w:t>10月12日，德国宝马首席执行官OliverZipse表示，为了应对欧盟提出的内燃机汽车禁令，宝马将做好准备，推出电动汽车。</w:t>
      </w:r>
    </w:p>
    <w:p w14:paraId="573C3A7D" w14:textId="77777777" w:rsidR="00EB4406" w:rsidRDefault="00EB4406" w:rsidP="007B14C9">
      <w:r>
        <w:rPr>
          <w:rFonts w:hint="eastAsia"/>
        </w:rPr>
        <w:t>此前，为了应对全球变暖，欧盟提出了一系列措施。其中，面向欧洲汽车行业，欧盟提议从</w:t>
      </w:r>
      <w:r>
        <w:t>2035年起禁止使用内燃机汽车。</w:t>
      </w:r>
    </w:p>
    <w:p w14:paraId="3C9CB809" w14:textId="77777777" w:rsidR="00EB4406" w:rsidRDefault="00EB4406" w:rsidP="007B14C9">
      <w:r>
        <w:rPr>
          <w:rFonts w:hint="eastAsia"/>
        </w:rPr>
        <w:t>与大众汽车和通用汽车等竞争对手不同，宝马还没有设定其停止内燃机汽车生产的具体日期。不过，宝马表示，预计到</w:t>
      </w:r>
      <w:r>
        <w:t>2030年，电动汽车将占其全球汽车销量的50%。</w:t>
      </w:r>
    </w:p>
    <w:p w14:paraId="42510DC1" w14:textId="77777777" w:rsidR="00EB4406" w:rsidRPr="00B12F1F" w:rsidRDefault="00EB4406" w:rsidP="007B14C9">
      <w:pPr>
        <w:pStyle w:val="a8"/>
        <w:numPr>
          <w:ilvl w:val="0"/>
          <w:numId w:val="21"/>
        </w:numPr>
        <w:ind w:firstLineChars="0"/>
        <w:outlineLvl w:val="1"/>
        <w:rPr>
          <w:b/>
        </w:rPr>
      </w:pPr>
      <w:r w:rsidRPr="00B12F1F">
        <w:rPr>
          <w:rFonts w:hint="eastAsia"/>
          <w:b/>
        </w:rPr>
        <w:t>法国总统马克龙公布</w:t>
      </w:r>
      <w:r w:rsidRPr="00B12F1F">
        <w:rPr>
          <w:b/>
        </w:rPr>
        <w:t>40亿欧元电动车计划</w:t>
      </w:r>
    </w:p>
    <w:p w14:paraId="3A897CDB" w14:textId="77777777" w:rsidR="00EB4406" w:rsidRDefault="00EB4406" w:rsidP="007B14C9">
      <w:r>
        <w:t>10月12日，法国总统马克龙公布了一项300亿欧元(约350亿美元)的工业复兴计划，其中有40亿欧元将用于交通部门来支持电动汽车和其他领域的发展。法国作为欧盟第二大经济体，多年来一直面临工业衰退的难题，法国此举则是为了扭转这个局面。</w:t>
      </w:r>
    </w:p>
    <w:p w14:paraId="4787ABEF" w14:textId="77777777" w:rsidR="00EB4406" w:rsidRDefault="00EB4406" w:rsidP="007B14C9">
      <w:r>
        <w:rPr>
          <w:rFonts w:hint="eastAsia"/>
        </w:rPr>
        <w:t>马克龙公布的这项计划名为“法国</w:t>
      </w:r>
      <w:r>
        <w:t>2030”(France2030)，法国将在5年内投资可再生能源、电动汽车、半导体和机器人等领域。</w:t>
      </w:r>
    </w:p>
    <w:p w14:paraId="3ADBC984" w14:textId="77777777" w:rsidR="00EB4406" w:rsidRDefault="00EB4406" w:rsidP="007B14C9">
      <w:r>
        <w:rPr>
          <w:rFonts w:hint="eastAsia"/>
        </w:rPr>
        <w:t>马克龙表示，政府将继续支持汽车行业向电气化转型，并设定了到</w:t>
      </w:r>
      <w:r>
        <w:t>2030年生产200万辆纯电动和混合动力汽车的目标。</w:t>
      </w:r>
    </w:p>
    <w:p w14:paraId="3B919192" w14:textId="77777777" w:rsidR="00EB4406" w:rsidRPr="0019734C" w:rsidRDefault="00EB4406" w:rsidP="007B14C9">
      <w:pPr>
        <w:pStyle w:val="a8"/>
        <w:numPr>
          <w:ilvl w:val="0"/>
          <w:numId w:val="21"/>
        </w:numPr>
        <w:ind w:firstLineChars="0"/>
        <w:outlineLvl w:val="1"/>
        <w:rPr>
          <w:b/>
        </w:rPr>
      </w:pPr>
      <w:r w:rsidRPr="0019734C">
        <w:rPr>
          <w:rFonts w:hint="eastAsia"/>
          <w:b/>
        </w:rPr>
        <w:t>丰田汽车宣布年生产目标削减</w:t>
      </w:r>
      <w:r w:rsidRPr="0019734C">
        <w:rPr>
          <w:b/>
        </w:rPr>
        <w:t>30万辆</w:t>
      </w:r>
    </w:p>
    <w:p w14:paraId="5A8A5B83" w14:textId="77777777" w:rsidR="00EB4406" w:rsidRDefault="00EB4406" w:rsidP="007B14C9">
      <w:r w:rsidRPr="00DD6EBF">
        <w:rPr>
          <w:rFonts w:hint="eastAsia"/>
        </w:rPr>
        <w:t>从海外媒体</w:t>
      </w:r>
      <w:r w:rsidRPr="00DD6EBF">
        <w:t>carscoops获悉，受新冠肺炎疫情影响，丰田汽车宣布将把截至3月底的财政年度生产目标削减30万辆，至900万辆。同时，丰田汽车还要求供应商弥补疫情所带来的生产损失，目的是能够在2022年3月之前再生产10余万辆汽车。</w:t>
      </w:r>
    </w:p>
    <w:p w14:paraId="32427F70" w14:textId="77777777" w:rsidR="00EB4406" w:rsidRPr="00B12F1F" w:rsidRDefault="00EB4406" w:rsidP="007B14C9">
      <w:pPr>
        <w:pStyle w:val="a8"/>
        <w:numPr>
          <w:ilvl w:val="0"/>
          <w:numId w:val="21"/>
        </w:numPr>
        <w:ind w:firstLineChars="0"/>
        <w:outlineLvl w:val="1"/>
        <w:rPr>
          <w:b/>
        </w:rPr>
      </w:pPr>
      <w:r w:rsidRPr="00B12F1F">
        <w:rPr>
          <w:rFonts w:hint="eastAsia"/>
          <w:b/>
        </w:rPr>
        <w:t>雷诺承诺每年在法国生产超过</w:t>
      </w:r>
      <w:r w:rsidRPr="00B12F1F">
        <w:rPr>
          <w:b/>
        </w:rPr>
        <w:t>70万辆汽车</w:t>
      </w:r>
    </w:p>
    <w:p w14:paraId="3C1FBE69" w14:textId="77777777" w:rsidR="00EB4406" w:rsidRDefault="00EB4406" w:rsidP="007B14C9">
      <w:r>
        <w:rPr>
          <w:rFonts w:hint="eastAsia"/>
        </w:rPr>
        <w:t>雷诺对工会表示，该公司计划每年在法国生产超过</w:t>
      </w:r>
      <w:r>
        <w:t>70万辆汽车，并将把9款新车型分配给法国工厂。</w:t>
      </w:r>
    </w:p>
    <w:p w14:paraId="28D88A01" w14:textId="77777777" w:rsidR="00EB4406" w:rsidRDefault="00EB4406" w:rsidP="007B14C9">
      <w:r>
        <w:rPr>
          <w:rFonts w:hint="eastAsia"/>
        </w:rPr>
        <w:t>该公司正在就一项为期三年的协议与工会进行谈判，该协议旨在管理法国的生产、技术和支持活动，当前这家汽车制造商正在向电动汽车过渡。</w:t>
      </w:r>
    </w:p>
    <w:p w14:paraId="3E10CBF9" w14:textId="77777777" w:rsidR="00EB4406" w:rsidRPr="00B87FE5" w:rsidRDefault="00EB4406" w:rsidP="007B14C9">
      <w:pPr>
        <w:pStyle w:val="a8"/>
        <w:numPr>
          <w:ilvl w:val="0"/>
          <w:numId w:val="21"/>
        </w:numPr>
        <w:ind w:firstLineChars="0"/>
        <w:outlineLvl w:val="1"/>
        <w:rPr>
          <w:b/>
        </w:rPr>
      </w:pPr>
      <w:r w:rsidRPr="00B87FE5">
        <w:rPr>
          <w:rFonts w:hint="eastAsia"/>
          <w:b/>
        </w:rPr>
        <w:t>马自达未来两年将推</w:t>
      </w:r>
      <w:r w:rsidRPr="00B87FE5">
        <w:rPr>
          <w:b/>
        </w:rPr>
        <w:t>5款跨界SUV并提供多种电动化动力选择</w:t>
      </w:r>
    </w:p>
    <w:p w14:paraId="256DF6DC" w14:textId="77777777" w:rsidR="00EB4406" w:rsidRDefault="00EB4406" w:rsidP="007B14C9">
      <w:r>
        <w:rPr>
          <w:rFonts w:hint="eastAsia"/>
        </w:rPr>
        <w:t>为应对全球持续增长的</w:t>
      </w:r>
      <w:r>
        <w:t>SUV细分市场，也为了向用户提供更多兼具最新环保科技和驾乘愉悦的车型选择，马自达日前发布了2022年后跨界SUV产品线发展计划。根据计划，马自达将在2022年至2023年间推出5款跨界SUV车型，分别是：“MAZDACX-50”、“MAZDACX-60”、“MAZDACX-70”、“MAZDACX-80”以及“MAZDACX-90”。据了解，MAZDACX-50作为新产品矩阵的核心跨界SUV车型，未来将主要面向追求SUV气场与越野性能的市场。</w:t>
      </w:r>
      <w:r w:rsidRPr="005E1A16">
        <w:rPr>
          <w:rFonts w:cs="宋体" w:hint="eastAsia"/>
          <w:b/>
          <w:bCs/>
          <w:i/>
          <w:iCs/>
        </w:rPr>
        <w:t>分析：。</w:t>
      </w:r>
    </w:p>
    <w:p w14:paraId="09DF7704" w14:textId="77777777" w:rsidR="00EB4406" w:rsidRPr="00B12F1F" w:rsidRDefault="00EB4406" w:rsidP="007B14C9">
      <w:pPr>
        <w:pStyle w:val="a8"/>
        <w:numPr>
          <w:ilvl w:val="0"/>
          <w:numId w:val="21"/>
        </w:numPr>
        <w:ind w:firstLineChars="0"/>
        <w:outlineLvl w:val="1"/>
        <w:rPr>
          <w:b/>
        </w:rPr>
      </w:pPr>
      <w:r w:rsidRPr="00B12F1F">
        <w:rPr>
          <w:rFonts w:hint="eastAsia"/>
          <w:b/>
        </w:rPr>
        <w:t>塔塔汽车将投资</w:t>
      </w:r>
      <w:r w:rsidRPr="00B12F1F">
        <w:rPr>
          <w:b/>
        </w:rPr>
        <w:t>20亿美元开发电动汽车</w:t>
      </w:r>
    </w:p>
    <w:p w14:paraId="5CE57E09" w14:textId="77777777" w:rsidR="00EB4406" w:rsidRDefault="00EB4406" w:rsidP="007B14C9">
      <w:r>
        <w:rPr>
          <w:rFonts w:hint="eastAsia"/>
        </w:rPr>
        <w:t>塔塔汽车的一位高管在</w:t>
      </w:r>
      <w:r>
        <w:t>10月12日表示，在获得了私募股权公司TPG的投资后，该公司将在未来五年内对其电动汽车（EV）业务投资超过20亿美元。</w:t>
      </w:r>
    </w:p>
    <w:p w14:paraId="6FAA632C" w14:textId="77777777" w:rsidR="00EB4406" w:rsidRPr="003710C7" w:rsidRDefault="00EB4406" w:rsidP="007B14C9">
      <w:pPr>
        <w:pStyle w:val="a8"/>
        <w:numPr>
          <w:ilvl w:val="0"/>
          <w:numId w:val="21"/>
        </w:numPr>
        <w:ind w:firstLineChars="0"/>
        <w:outlineLvl w:val="1"/>
        <w:rPr>
          <w:b/>
        </w:rPr>
      </w:pPr>
      <w:r w:rsidRPr="003710C7">
        <w:rPr>
          <w:rFonts w:hint="eastAsia"/>
          <w:b/>
        </w:rPr>
        <w:t>台积电：三季度车用芯片占总收入</w:t>
      </w:r>
      <w:r w:rsidRPr="003710C7">
        <w:rPr>
          <w:b/>
        </w:rPr>
        <w:t>4%</w:t>
      </w:r>
    </w:p>
    <w:p w14:paraId="76AB788E" w14:textId="77777777" w:rsidR="00EB4406" w:rsidRDefault="00EB4406" w:rsidP="007B14C9">
      <w:r w:rsidRPr="00124E91">
        <w:t>10月14日，台积电发布2021年第三季度财报，营收148.8亿美元，其中车用芯片占总收入4%，与第二季度持平。</w:t>
      </w:r>
    </w:p>
    <w:p w14:paraId="59005E87" w14:textId="77777777" w:rsidR="00EB4406" w:rsidRPr="005E6E00" w:rsidRDefault="00EB4406" w:rsidP="007B14C9">
      <w:pPr>
        <w:pStyle w:val="a8"/>
        <w:numPr>
          <w:ilvl w:val="0"/>
          <w:numId w:val="21"/>
        </w:numPr>
        <w:ind w:firstLineChars="0"/>
        <w:outlineLvl w:val="1"/>
        <w:rPr>
          <w:b/>
        </w:rPr>
      </w:pPr>
      <w:r w:rsidRPr="005E6E00">
        <w:rPr>
          <w:rFonts w:hint="eastAsia"/>
          <w:b/>
        </w:rPr>
        <w:t>特斯拉柏林工厂即将投产</w:t>
      </w:r>
      <w:r w:rsidRPr="005E6E00">
        <w:rPr>
          <w:b/>
        </w:rPr>
        <w:t>产能将达每周5000辆</w:t>
      </w:r>
    </w:p>
    <w:p w14:paraId="7E37340F" w14:textId="77777777" w:rsidR="00EB4406" w:rsidRDefault="00EB4406" w:rsidP="007B14C9">
      <w:r w:rsidRPr="00016C2F">
        <w:t>马斯克当日在柏林新工厂举行的活动上表示，特斯拉柏林新工厂计划最早11月投产，12月开始交付ModelY。据悉，该工厂的产能将为5000辆/周，未来有希望达到10000辆/周。</w:t>
      </w:r>
    </w:p>
    <w:p w14:paraId="5B40FE58" w14:textId="77777777" w:rsidR="00EB4406" w:rsidRPr="003710C7" w:rsidRDefault="00EB4406" w:rsidP="007B14C9">
      <w:pPr>
        <w:pStyle w:val="a8"/>
        <w:numPr>
          <w:ilvl w:val="0"/>
          <w:numId w:val="21"/>
        </w:numPr>
        <w:ind w:firstLineChars="0"/>
        <w:outlineLvl w:val="1"/>
        <w:rPr>
          <w:b/>
        </w:rPr>
      </w:pPr>
      <w:r w:rsidRPr="003710C7">
        <w:rPr>
          <w:rFonts w:hint="eastAsia"/>
          <w:b/>
        </w:rPr>
        <w:t>特斯拉采购超过</w:t>
      </w:r>
      <w:r w:rsidRPr="003710C7">
        <w:rPr>
          <w:b/>
        </w:rPr>
        <w:t>4.2万吨镍</w:t>
      </w:r>
    </w:p>
    <w:p w14:paraId="676A4F6E" w14:textId="77777777" w:rsidR="00EB4406" w:rsidRDefault="00EB4406" w:rsidP="007B14C9">
      <w:r w:rsidRPr="00712B1D">
        <w:rPr>
          <w:rFonts w:hint="eastAsia"/>
        </w:rPr>
        <w:t>当地时间</w:t>
      </w:r>
      <w:r w:rsidRPr="00712B1D">
        <w:t>10月13日，法属新喀里多尼亚矿业公司PronyResources宣布，公司已在9月与特斯拉达成一项为期多年的镍供应协议，向其供应超过4.2万吨镍，Prony并未透露合同规定的合作年限。</w:t>
      </w:r>
    </w:p>
    <w:p w14:paraId="7449F7F2" w14:textId="77777777" w:rsidR="00EB4406" w:rsidRPr="00681B5F" w:rsidRDefault="00EB4406" w:rsidP="007B14C9">
      <w:pPr>
        <w:pStyle w:val="a8"/>
        <w:numPr>
          <w:ilvl w:val="0"/>
          <w:numId w:val="21"/>
        </w:numPr>
        <w:ind w:firstLineChars="0"/>
        <w:outlineLvl w:val="1"/>
        <w:rPr>
          <w:b/>
        </w:rPr>
      </w:pPr>
      <w:r w:rsidRPr="00681B5F">
        <w:rPr>
          <w:rFonts w:hint="eastAsia"/>
          <w:b/>
        </w:rPr>
        <w:t>特斯拉电动卡车充电站正式开始部署</w:t>
      </w:r>
    </w:p>
    <w:p w14:paraId="54B9F1A1" w14:textId="77777777" w:rsidR="00EB4406" w:rsidRDefault="00EB4406" w:rsidP="007B14C9">
      <w:r>
        <w:rPr>
          <w:rFonts w:hint="eastAsia"/>
        </w:rPr>
        <w:t>特斯拉为其将在内华达州工厂生产的</w:t>
      </w:r>
      <w:r>
        <w:t>Semi的电动卡车部署了第一个Megacharger充电站。</w:t>
      </w:r>
    </w:p>
    <w:p w14:paraId="7C778AEC" w14:textId="77777777" w:rsidR="00EB4406" w:rsidRDefault="00EB4406" w:rsidP="007B14C9">
      <w:r>
        <w:rPr>
          <w:rFonts w:hint="eastAsia"/>
        </w:rPr>
        <w:t>推出</w:t>
      </w:r>
      <w:r>
        <w:t>Megacharger计划时，特斯拉曾表示Megacharger充电站不仅可以在30分钟内增加电动卡车400英里（约为643公里）的续航里程还可以提供更加便宜的电能，如果引进国内可以满足干线物流使用。</w:t>
      </w:r>
    </w:p>
    <w:p w14:paraId="11196CFC" w14:textId="77777777" w:rsidR="00EB4406" w:rsidRDefault="00EB4406" w:rsidP="007B14C9">
      <w:r>
        <w:rPr>
          <w:rFonts w:hint="eastAsia"/>
        </w:rPr>
        <w:t>随着</w:t>
      </w:r>
      <w:r>
        <w:t>Megacharger充电站的真正部署，Semi卡车也将真正开始生产。日前，马斯克在特斯拉年度股东大会上表示，由于受到芯片短缺的影响，首批Semi的交付日期也将推迟到明年，并且至少要到2023年才能开始量产。在交付之前，特斯拉将预生产一批Semi卡车，用于测试以及满足内部物流需求。</w:t>
      </w:r>
    </w:p>
    <w:p w14:paraId="3ECD49B7" w14:textId="77777777" w:rsidR="00EB4406" w:rsidRPr="003710C7" w:rsidRDefault="00EB4406" w:rsidP="007B14C9">
      <w:pPr>
        <w:pStyle w:val="a8"/>
        <w:numPr>
          <w:ilvl w:val="0"/>
          <w:numId w:val="21"/>
        </w:numPr>
        <w:ind w:firstLineChars="0"/>
        <w:outlineLvl w:val="1"/>
        <w:rPr>
          <w:b/>
        </w:rPr>
      </w:pPr>
      <w:r w:rsidRPr="003710C7">
        <w:rPr>
          <w:rFonts w:hint="eastAsia"/>
          <w:b/>
        </w:rPr>
        <w:t>特斯拉公布</w:t>
      </w:r>
      <w:r w:rsidRPr="003710C7">
        <w:rPr>
          <w:b/>
        </w:rPr>
        <w:t>4680电池架构柏林Giga周产目标1万辆</w:t>
      </w:r>
    </w:p>
    <w:p w14:paraId="6491CBC4" w14:textId="77777777" w:rsidR="00EB4406" w:rsidRDefault="00EB4406" w:rsidP="007B14C9">
      <w:r w:rsidRPr="00124E91">
        <w:rPr>
          <w:rFonts w:hint="eastAsia"/>
        </w:rPr>
        <w:t>特斯拉日前在德国柏林</w:t>
      </w:r>
      <w:r w:rsidRPr="00124E91">
        <w:t>Giga举行的一项活动上展示其4680电池结构，特斯拉首席执行官埃隆·马斯克现场宣布，该厂将于今年11月或12月开始投产ModelY(配置|询价)，并计划在12月完成第一批交付。</w:t>
      </w:r>
    </w:p>
    <w:p w14:paraId="513D359A" w14:textId="77777777" w:rsidR="00EB4406" w:rsidRPr="003710C7" w:rsidRDefault="00EB4406" w:rsidP="007B14C9">
      <w:pPr>
        <w:pStyle w:val="a8"/>
        <w:numPr>
          <w:ilvl w:val="0"/>
          <w:numId w:val="21"/>
        </w:numPr>
        <w:ind w:firstLineChars="0"/>
        <w:outlineLvl w:val="1"/>
        <w:rPr>
          <w:b/>
        </w:rPr>
      </w:pPr>
      <w:r w:rsidRPr="003710C7">
        <w:rPr>
          <w:rFonts w:hint="eastAsia"/>
          <w:b/>
        </w:rPr>
        <w:t>特斯拉在得州上线“基于驾驶行为的保险业务”</w:t>
      </w:r>
    </w:p>
    <w:p w14:paraId="343E256B" w14:textId="77777777" w:rsidR="00EB4406" w:rsidRDefault="00EB4406" w:rsidP="007B14C9">
      <w:r w:rsidRPr="00124E91">
        <w:t>特斯拉已在美国得克萨斯州上线保险业务，且与之前在加州上线的保险业务不同，此次的保险产品将基于用户平时日常驾车行为，（以月为单位）实时变动保险金额。</w:t>
      </w:r>
    </w:p>
    <w:p w14:paraId="3FC6F95C" w14:textId="77777777" w:rsidR="00EB4406" w:rsidRPr="00606933" w:rsidRDefault="00EB4406" w:rsidP="007B14C9">
      <w:pPr>
        <w:pStyle w:val="a8"/>
        <w:numPr>
          <w:ilvl w:val="0"/>
          <w:numId w:val="21"/>
        </w:numPr>
        <w:ind w:firstLineChars="0"/>
        <w:outlineLvl w:val="1"/>
        <w:rPr>
          <w:b/>
        </w:rPr>
      </w:pPr>
      <w:r w:rsidRPr="00606933">
        <w:rPr>
          <w:rFonts w:hint="eastAsia"/>
          <w:b/>
        </w:rPr>
        <w:t>特斯拉在内华达工厂部署首座</w:t>
      </w:r>
      <w:r w:rsidRPr="00606933">
        <w:rPr>
          <w:b/>
        </w:rPr>
        <w:t>Megacharger充电站充电功率大于1MW</w:t>
      </w:r>
    </w:p>
    <w:p w14:paraId="4F59042E" w14:textId="77777777" w:rsidR="00EB4406" w:rsidRDefault="00EB4406" w:rsidP="007B14C9">
      <w:r w:rsidRPr="00B30213">
        <w:t>特斯拉正在内华达工厂部署其首座Megacharger充电站。该充电站可为将于2023年量产交付的Semi电动卡车充电，也可能是世界上首个功率达到1MW的充电桩样件。</w:t>
      </w:r>
    </w:p>
    <w:p w14:paraId="60F835C8" w14:textId="77777777" w:rsidR="00EB4406" w:rsidRPr="00CC71EF" w:rsidRDefault="00EB4406" w:rsidP="007B14C9">
      <w:pPr>
        <w:pStyle w:val="a8"/>
        <w:numPr>
          <w:ilvl w:val="0"/>
          <w:numId w:val="21"/>
        </w:numPr>
        <w:ind w:firstLineChars="0"/>
        <w:outlineLvl w:val="1"/>
        <w:rPr>
          <w:b/>
        </w:rPr>
      </w:pPr>
      <w:r w:rsidRPr="00CC71EF">
        <w:rPr>
          <w:rFonts w:hint="eastAsia"/>
          <w:b/>
        </w:rPr>
        <w:t>通用将推出</w:t>
      </w:r>
      <w:r w:rsidRPr="00CC71EF">
        <w:rPr>
          <w:b/>
        </w:rPr>
        <w:t>UltraCruise自动驾驶技术</w:t>
      </w:r>
    </w:p>
    <w:p w14:paraId="2D341692" w14:textId="77777777" w:rsidR="00EB4406" w:rsidRDefault="00EB4406" w:rsidP="007B14C9">
      <w:r>
        <w:rPr>
          <w:rFonts w:hint="eastAsia"/>
        </w:rPr>
        <w:t>通用计划推出比当前“</w:t>
      </w:r>
      <w:r>
        <w:t>SuperCruise（超级智能驾驶系统）”更加强大的“UltraCruise”自动驾驶技术，可以拥有现实中95%路况场景的自动驾驶能力，该技术预计会在2023年开始，由凯迪拉克品牌开始首先搭载。</w:t>
      </w:r>
    </w:p>
    <w:p w14:paraId="70323D38" w14:textId="77777777" w:rsidR="00EB4406" w:rsidRPr="003710C7" w:rsidRDefault="00EB4406" w:rsidP="007B14C9">
      <w:pPr>
        <w:pStyle w:val="a8"/>
        <w:numPr>
          <w:ilvl w:val="0"/>
          <w:numId w:val="21"/>
        </w:numPr>
        <w:ind w:firstLineChars="0"/>
        <w:outlineLvl w:val="1"/>
        <w:rPr>
          <w:b/>
        </w:rPr>
      </w:pPr>
      <w:r w:rsidRPr="003710C7">
        <w:rPr>
          <w:rFonts w:hint="eastAsia"/>
          <w:b/>
        </w:rPr>
        <w:t>现代汽车希望开发自研芯片</w:t>
      </w:r>
    </w:p>
    <w:p w14:paraId="526386A7" w14:textId="77777777" w:rsidR="00EB4406" w:rsidRDefault="00EB4406" w:rsidP="007B14C9">
      <w:r>
        <w:t>现代汽车全球首席运营官Munoz表示，为了减少对芯片制造商的依赖，希望开发自研芯片。</w:t>
      </w:r>
    </w:p>
    <w:p w14:paraId="4F319181" w14:textId="77777777" w:rsidR="00EB4406" w:rsidRDefault="00EB4406" w:rsidP="007B14C9">
      <w:r>
        <w:t>Munoz称自研芯片需要大量投资和时间，现代汽车子公司摩比斯将在内部芯片开发计划中发挥核心作用。</w:t>
      </w:r>
    </w:p>
    <w:p w14:paraId="31F1F692" w14:textId="77777777" w:rsidR="00EB4406" w:rsidRPr="00725B94" w:rsidRDefault="00EB4406" w:rsidP="007B14C9">
      <w:pPr>
        <w:pStyle w:val="a8"/>
        <w:numPr>
          <w:ilvl w:val="0"/>
          <w:numId w:val="21"/>
        </w:numPr>
        <w:ind w:firstLineChars="0"/>
        <w:outlineLvl w:val="1"/>
        <w:rPr>
          <w:b/>
        </w:rPr>
      </w:pPr>
      <w:r w:rsidRPr="00725B94">
        <w:rPr>
          <w:rFonts w:hint="eastAsia"/>
          <w:b/>
        </w:rPr>
        <w:t>现代与壳牌合作</w:t>
      </w:r>
      <w:r w:rsidRPr="00725B94">
        <w:rPr>
          <w:b/>
        </w:rPr>
        <w:t>将在加州建设48个氢能站</w:t>
      </w:r>
    </w:p>
    <w:p w14:paraId="2A8D1C40" w14:textId="77777777" w:rsidR="00EB4406" w:rsidRDefault="00EB4406" w:rsidP="007B14C9">
      <w:r>
        <w:t>现代将与壳牌进行合作，未来将在加州建设48个氢能站。现代汽车表示，他们致力于促进燃料电池汽车的销售增长，并参与氢基础设施的扩张。</w:t>
      </w:r>
    </w:p>
    <w:p w14:paraId="02819B98" w14:textId="032FF5C9" w:rsidR="00EB4406" w:rsidRPr="00725B94" w:rsidRDefault="00EB4406" w:rsidP="007B14C9">
      <w:pPr>
        <w:rPr>
          <w:rFonts w:cs="宋体"/>
          <w:b/>
          <w:bCs/>
          <w:i/>
          <w:iCs/>
        </w:rPr>
      </w:pPr>
    </w:p>
    <w:sectPr w:rsidR="00EB4406" w:rsidRPr="00725B94" w:rsidSect="00E01725">
      <w:headerReference w:type="default" r:id="rId13"/>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0D8E4" w14:textId="77777777" w:rsidR="00AB5A28" w:rsidRDefault="00AB5A28" w:rsidP="007B14C9">
      <w:r>
        <w:separator/>
      </w:r>
    </w:p>
  </w:endnote>
  <w:endnote w:type="continuationSeparator" w:id="0">
    <w:p w14:paraId="78553A7C" w14:textId="77777777" w:rsidR="00AB5A28" w:rsidRDefault="00AB5A28" w:rsidP="007B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4234" w14:textId="77777777" w:rsidR="00AB5A28" w:rsidRDefault="00AB5A28" w:rsidP="007B14C9">
      <w:r>
        <w:separator/>
      </w:r>
    </w:p>
  </w:footnote>
  <w:footnote w:type="continuationSeparator" w:id="0">
    <w:p w14:paraId="66B76C55" w14:textId="77777777" w:rsidR="00AB5A28" w:rsidRDefault="00AB5A28" w:rsidP="007B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4ED3D" w14:textId="7C0C0512" w:rsidR="00E01725" w:rsidRDefault="00E01725" w:rsidP="00E01725">
    <w:pPr>
      <w:pStyle w:val="a3"/>
      <w:jc w:val="left"/>
    </w:pPr>
    <w:r>
      <w:rPr>
        <w:noProof/>
      </w:rPr>
      <w:drawing>
        <wp:inline distT="0" distB="0" distL="0" distR="0" wp14:anchorId="742B7DBF" wp14:editId="4383EC1E">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D6E4E"/>
    <w:multiLevelType w:val="hybridMultilevel"/>
    <w:tmpl w:val="0A24885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571C46"/>
    <w:multiLevelType w:val="hybridMultilevel"/>
    <w:tmpl w:val="B686B244"/>
    <w:lvl w:ilvl="0" w:tplc="0409000F">
      <w:start w:val="1"/>
      <w:numFmt w:val="decimal"/>
      <w:lvlText w:val="%1."/>
      <w:lvlJc w:val="left"/>
      <w:pPr>
        <w:ind w:left="1128"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5312E5"/>
    <w:multiLevelType w:val="hybridMultilevel"/>
    <w:tmpl w:val="B686B244"/>
    <w:lvl w:ilvl="0" w:tplc="0409000F">
      <w:start w:val="1"/>
      <w:numFmt w:val="decimal"/>
      <w:lvlText w:val="%1."/>
      <w:lvlJc w:val="left"/>
      <w:pPr>
        <w:ind w:left="1128"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1128"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3"/>
  </w:num>
  <w:num w:numId="3">
    <w:abstractNumId w:val="14"/>
  </w:num>
  <w:num w:numId="4">
    <w:abstractNumId w:val="17"/>
  </w:num>
  <w:num w:numId="5">
    <w:abstractNumId w:val="15"/>
  </w:num>
  <w:num w:numId="6">
    <w:abstractNumId w:val="10"/>
  </w:num>
  <w:num w:numId="7">
    <w:abstractNumId w:val="7"/>
  </w:num>
  <w:num w:numId="8">
    <w:abstractNumId w:val="6"/>
  </w:num>
  <w:num w:numId="9">
    <w:abstractNumId w:val="11"/>
  </w:num>
  <w:num w:numId="10">
    <w:abstractNumId w:val="8"/>
  </w:num>
  <w:num w:numId="11">
    <w:abstractNumId w:val="1"/>
  </w:num>
  <w:num w:numId="12">
    <w:abstractNumId w:val="9"/>
  </w:num>
  <w:num w:numId="13">
    <w:abstractNumId w:val="2"/>
  </w:num>
  <w:num w:numId="14">
    <w:abstractNumId w:val="22"/>
  </w:num>
  <w:num w:numId="15">
    <w:abstractNumId w:val="21"/>
  </w:num>
  <w:num w:numId="16">
    <w:abstractNumId w:val="18"/>
  </w:num>
  <w:num w:numId="17">
    <w:abstractNumId w:val="2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0"/>
  </w:num>
  <w:num w:numId="21">
    <w:abstractNumId w:val="3"/>
  </w:num>
  <w:num w:numId="22">
    <w:abstractNumId w:val="12"/>
  </w:num>
  <w:num w:numId="23">
    <w:abstractNumId w:val="1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82"/>
    <w:rsid w:val="00076C90"/>
    <w:rsid w:val="000A1DE6"/>
    <w:rsid w:val="000A72B6"/>
    <w:rsid w:val="00152EBA"/>
    <w:rsid w:val="001C1B4A"/>
    <w:rsid w:val="002974A1"/>
    <w:rsid w:val="002A5F53"/>
    <w:rsid w:val="0033247B"/>
    <w:rsid w:val="00346798"/>
    <w:rsid w:val="003773B7"/>
    <w:rsid w:val="003A0308"/>
    <w:rsid w:val="003A5DDC"/>
    <w:rsid w:val="003E127F"/>
    <w:rsid w:val="00441E0E"/>
    <w:rsid w:val="005130A3"/>
    <w:rsid w:val="00535F27"/>
    <w:rsid w:val="006451EF"/>
    <w:rsid w:val="00720F5F"/>
    <w:rsid w:val="00794682"/>
    <w:rsid w:val="007B14C9"/>
    <w:rsid w:val="007D6FC8"/>
    <w:rsid w:val="0080124F"/>
    <w:rsid w:val="008013BF"/>
    <w:rsid w:val="00952CF3"/>
    <w:rsid w:val="009A576C"/>
    <w:rsid w:val="00AA3191"/>
    <w:rsid w:val="00AB4DF3"/>
    <w:rsid w:val="00AB5A28"/>
    <w:rsid w:val="00B326F0"/>
    <w:rsid w:val="00B75842"/>
    <w:rsid w:val="00BD78E2"/>
    <w:rsid w:val="00BE1FA1"/>
    <w:rsid w:val="00C07665"/>
    <w:rsid w:val="00C34BAF"/>
    <w:rsid w:val="00C94BED"/>
    <w:rsid w:val="00CC5A22"/>
    <w:rsid w:val="00D050AC"/>
    <w:rsid w:val="00D77026"/>
    <w:rsid w:val="00E01725"/>
    <w:rsid w:val="00EB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ED92C"/>
  <w15:chartTrackingRefBased/>
  <w15:docId w15:val="{7A09AC2C-77EA-4747-8353-ABEE9F313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14C9"/>
    <w:pPr>
      <w:widowControl w:val="0"/>
      <w:jc w:val="both"/>
    </w:pPr>
    <w:rPr>
      <w:szCs w:val="24"/>
    </w:rPr>
  </w:style>
  <w:style w:type="paragraph" w:styleId="2">
    <w:name w:val="heading 2"/>
    <w:basedOn w:val="a"/>
    <w:next w:val="a"/>
    <w:link w:val="20"/>
    <w:semiHidden/>
    <w:unhideWhenUsed/>
    <w:qFormat/>
    <w:rsid w:val="007B14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B14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B14C9"/>
    <w:rPr>
      <w:sz w:val="18"/>
      <w:szCs w:val="18"/>
    </w:rPr>
  </w:style>
  <w:style w:type="paragraph" w:styleId="a5">
    <w:name w:val="footer"/>
    <w:basedOn w:val="a"/>
    <w:link w:val="a6"/>
    <w:unhideWhenUsed/>
    <w:rsid w:val="007B14C9"/>
    <w:pPr>
      <w:tabs>
        <w:tab w:val="center" w:pos="4153"/>
        <w:tab w:val="right" w:pos="8306"/>
      </w:tabs>
      <w:snapToGrid w:val="0"/>
      <w:jc w:val="left"/>
    </w:pPr>
    <w:rPr>
      <w:sz w:val="18"/>
      <w:szCs w:val="18"/>
    </w:rPr>
  </w:style>
  <w:style w:type="character" w:customStyle="1" w:styleId="a6">
    <w:name w:val="页脚 字符"/>
    <w:basedOn w:val="a0"/>
    <w:link w:val="a5"/>
    <w:rsid w:val="007B14C9"/>
    <w:rPr>
      <w:sz w:val="18"/>
      <w:szCs w:val="18"/>
    </w:rPr>
  </w:style>
  <w:style w:type="character" w:customStyle="1" w:styleId="20">
    <w:name w:val="标题 2 字符"/>
    <w:basedOn w:val="a0"/>
    <w:link w:val="2"/>
    <w:semiHidden/>
    <w:rsid w:val="007B14C9"/>
    <w:rPr>
      <w:rFonts w:asciiTheme="majorHAnsi" w:eastAsiaTheme="majorEastAsia" w:hAnsiTheme="majorHAnsi" w:cstheme="majorBidi"/>
      <w:b/>
      <w:bCs/>
      <w:sz w:val="32"/>
      <w:szCs w:val="32"/>
    </w:rPr>
  </w:style>
  <w:style w:type="character" w:styleId="a7">
    <w:name w:val="Strong"/>
    <w:basedOn w:val="a0"/>
    <w:qFormat/>
    <w:rsid w:val="007B14C9"/>
    <w:rPr>
      <w:b/>
    </w:rPr>
  </w:style>
  <w:style w:type="paragraph" w:customStyle="1" w:styleId="1">
    <w:name w:val="列出段落1"/>
    <w:basedOn w:val="a"/>
    <w:uiPriority w:val="99"/>
    <w:qFormat/>
    <w:rsid w:val="007B14C9"/>
    <w:pPr>
      <w:ind w:firstLineChars="200" w:firstLine="420"/>
    </w:pPr>
  </w:style>
  <w:style w:type="paragraph" w:styleId="a8">
    <w:name w:val="List Paragraph"/>
    <w:basedOn w:val="a"/>
    <w:uiPriority w:val="34"/>
    <w:qFormat/>
    <w:rsid w:val="007B14C9"/>
    <w:pPr>
      <w:ind w:firstLineChars="200" w:firstLine="420"/>
    </w:pPr>
  </w:style>
  <w:style w:type="paragraph" w:styleId="a9">
    <w:name w:val="Balloon Text"/>
    <w:basedOn w:val="a"/>
    <w:link w:val="aa"/>
    <w:rsid w:val="007B14C9"/>
    <w:rPr>
      <w:sz w:val="18"/>
      <w:szCs w:val="18"/>
    </w:rPr>
  </w:style>
  <w:style w:type="character" w:customStyle="1" w:styleId="aa">
    <w:name w:val="批注框文本 字符"/>
    <w:basedOn w:val="a0"/>
    <w:link w:val="a9"/>
    <w:rsid w:val="007B14C9"/>
    <w:rPr>
      <w:sz w:val="18"/>
      <w:szCs w:val="18"/>
    </w:rPr>
  </w:style>
  <w:style w:type="character" w:customStyle="1" w:styleId="apple-converted-space">
    <w:name w:val="apple-converted-space"/>
    <w:basedOn w:val="a0"/>
    <w:rsid w:val="007B14C9"/>
  </w:style>
  <w:style w:type="character" w:styleId="ab">
    <w:name w:val="annotation reference"/>
    <w:basedOn w:val="a0"/>
    <w:uiPriority w:val="99"/>
    <w:semiHidden/>
    <w:unhideWhenUsed/>
    <w:rsid w:val="007B14C9"/>
    <w:rPr>
      <w:sz w:val="21"/>
      <w:szCs w:val="21"/>
    </w:rPr>
  </w:style>
  <w:style w:type="paragraph" w:styleId="ac">
    <w:name w:val="annotation text"/>
    <w:basedOn w:val="a"/>
    <w:link w:val="ad"/>
    <w:uiPriority w:val="99"/>
    <w:semiHidden/>
    <w:unhideWhenUsed/>
    <w:rsid w:val="007B14C9"/>
    <w:pPr>
      <w:jc w:val="left"/>
    </w:pPr>
  </w:style>
  <w:style w:type="character" w:customStyle="1" w:styleId="ad">
    <w:name w:val="批注文字 字符"/>
    <w:basedOn w:val="a0"/>
    <w:link w:val="ac"/>
    <w:uiPriority w:val="99"/>
    <w:semiHidden/>
    <w:rsid w:val="007B14C9"/>
    <w:rPr>
      <w:szCs w:val="24"/>
    </w:rPr>
  </w:style>
  <w:style w:type="paragraph" w:styleId="ae">
    <w:name w:val="annotation subject"/>
    <w:basedOn w:val="ac"/>
    <w:next w:val="ac"/>
    <w:link w:val="af"/>
    <w:uiPriority w:val="99"/>
    <w:semiHidden/>
    <w:unhideWhenUsed/>
    <w:rsid w:val="007B14C9"/>
    <w:rPr>
      <w:b/>
      <w:bCs/>
    </w:rPr>
  </w:style>
  <w:style w:type="character" w:customStyle="1" w:styleId="af">
    <w:name w:val="批注主题 字符"/>
    <w:basedOn w:val="ad"/>
    <w:link w:val="ae"/>
    <w:uiPriority w:val="99"/>
    <w:semiHidden/>
    <w:rsid w:val="007B14C9"/>
    <w:rPr>
      <w:b/>
      <w:bCs/>
      <w:szCs w:val="24"/>
    </w:rPr>
  </w:style>
  <w:style w:type="character" w:styleId="af0">
    <w:name w:val="Hyperlink"/>
    <w:basedOn w:val="a0"/>
    <w:uiPriority w:val="99"/>
    <w:unhideWhenUsed/>
    <w:rsid w:val="007B14C9"/>
    <w:rPr>
      <w:color w:val="0563C1" w:themeColor="hyperlink"/>
      <w:u w:val="single"/>
    </w:rPr>
  </w:style>
  <w:style w:type="character" w:styleId="af1">
    <w:name w:val="Unresolved Mention"/>
    <w:basedOn w:val="a0"/>
    <w:uiPriority w:val="99"/>
    <w:semiHidden/>
    <w:unhideWhenUsed/>
    <w:rsid w:val="00E01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2171</Words>
  <Characters>12375</Characters>
  <Application>Microsoft Office Word</Application>
  <DocSecurity>0</DocSecurity>
  <Lines>103</Lines>
  <Paragraphs>29</Paragraphs>
  <ScaleCrop>false</ScaleCrop>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2021-10-20T05:43:00Z</dcterms:created>
  <dcterms:modified xsi:type="dcterms:W3CDTF">2021-10-20T06:49:00Z</dcterms:modified>
</cp:coreProperties>
</file>