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CBADA" w14:textId="3341D749" w:rsidR="0094218D" w:rsidRDefault="0094218D" w:rsidP="0094218D">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43</w:t>
      </w:r>
      <w:r w:rsidRPr="002009FE">
        <w:rPr>
          <w:rFonts w:ascii="黑体" w:eastAsia="黑体" w:cs="黑体" w:hint="eastAsia"/>
          <w:sz w:val="24"/>
        </w:rPr>
        <w:t>期（</w:t>
      </w:r>
      <w:r>
        <w:rPr>
          <w:rFonts w:ascii="黑体" w:eastAsia="黑体" w:cs="黑体"/>
          <w:sz w:val="24"/>
        </w:rPr>
        <w:t>10</w:t>
      </w:r>
      <w:r w:rsidRPr="002009FE">
        <w:rPr>
          <w:rFonts w:ascii="黑体" w:eastAsia="黑体" w:cs="黑体" w:hint="eastAsia"/>
          <w:sz w:val="24"/>
        </w:rPr>
        <w:t>月</w:t>
      </w:r>
      <w:r>
        <w:rPr>
          <w:rFonts w:ascii="黑体" w:eastAsia="黑体" w:cs="黑体" w:hint="eastAsia"/>
          <w:sz w:val="24"/>
        </w:rPr>
        <w:t>25</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10</w:t>
      </w:r>
      <w:r w:rsidRPr="002009FE">
        <w:rPr>
          <w:rFonts w:ascii="黑体" w:eastAsia="黑体" w:cs="黑体" w:hint="eastAsia"/>
          <w:sz w:val="24"/>
        </w:rPr>
        <w:t>月</w:t>
      </w:r>
      <w:r>
        <w:rPr>
          <w:rFonts w:ascii="黑体" w:eastAsia="黑体" w:cs="黑体"/>
          <w:sz w:val="24"/>
        </w:rPr>
        <w:t>31</w:t>
      </w:r>
      <w:r w:rsidRPr="002009FE">
        <w:rPr>
          <w:rFonts w:ascii="黑体" w:eastAsia="黑体" w:cs="黑体" w:hint="eastAsia"/>
          <w:sz w:val="24"/>
        </w:rPr>
        <w:t>日）</w:t>
      </w:r>
      <w:bookmarkEnd w:id="0"/>
    </w:p>
    <w:p w14:paraId="7FECE654" w14:textId="77777777" w:rsidR="00D22C9F" w:rsidRPr="002009FE" w:rsidRDefault="00D22C9F" w:rsidP="0094218D">
      <w:pPr>
        <w:jc w:val="center"/>
        <w:outlineLvl w:val="0"/>
        <w:rPr>
          <w:rFonts w:ascii="黑体" w:eastAsia="黑体" w:cs="Times New Roman"/>
          <w:sz w:val="24"/>
        </w:rPr>
      </w:pPr>
    </w:p>
    <w:p w14:paraId="7148E4D4" w14:textId="77777777" w:rsidR="0094218D" w:rsidRPr="00A43D0D" w:rsidRDefault="0094218D" w:rsidP="0094218D">
      <w:pPr>
        <w:rPr>
          <w:rFonts w:ascii="黑体" w:eastAsia="黑体" w:cs="黑体"/>
        </w:rPr>
      </w:pPr>
      <w:r w:rsidRPr="00A43D0D">
        <w:rPr>
          <w:rFonts w:ascii="黑体" w:eastAsia="黑体" w:cs="黑体" w:hint="eastAsia"/>
        </w:rPr>
        <w:t>主要信息源自乘联会每日新闻等</w:t>
      </w:r>
    </w:p>
    <w:p w14:paraId="147F9C98" w14:textId="77777777" w:rsidR="0094218D" w:rsidRPr="00A43D0D" w:rsidRDefault="0094218D" w:rsidP="0094218D">
      <w:pPr>
        <w:rPr>
          <w:rFonts w:ascii="黑体" w:eastAsia="黑体" w:cs="黑体"/>
        </w:rPr>
      </w:pPr>
      <w:r w:rsidRPr="00A43D0D">
        <w:rPr>
          <w:rFonts w:ascii="黑体" w:eastAsia="黑体" w:cs="黑体" w:hint="eastAsia"/>
        </w:rPr>
        <w:t>中国汽车流通协会汽车市场研究分会</w:t>
      </w:r>
    </w:p>
    <w:p w14:paraId="7EA72531" w14:textId="77777777" w:rsidR="0094218D" w:rsidRPr="00A43D0D" w:rsidRDefault="0094218D" w:rsidP="0094218D">
      <w:pPr>
        <w:rPr>
          <w:rFonts w:ascii="黑体" w:eastAsia="黑体" w:cs="黑体"/>
        </w:rPr>
      </w:pPr>
      <w:r w:rsidRPr="00A43D0D">
        <w:rPr>
          <w:rFonts w:ascii="黑体" w:eastAsia="黑体" w:cs="黑体" w:hint="eastAsia"/>
        </w:rPr>
        <w:t>乘用车市场信息联席会（乘联会）</w:t>
      </w:r>
    </w:p>
    <w:p w14:paraId="6D4ACEEC" w14:textId="5AE2168C" w:rsidR="0094218D" w:rsidRDefault="0094218D" w:rsidP="0094218D">
      <w:pPr>
        <w:rPr>
          <w:rFonts w:ascii="黑体" w:eastAsia="黑体" w:cs="黑体"/>
        </w:rPr>
      </w:pPr>
      <w:r w:rsidRPr="00A43D0D">
        <w:rPr>
          <w:rFonts w:ascii="黑体" w:eastAsia="黑体" w:cs="黑体" w:hint="eastAsia"/>
        </w:rPr>
        <w:t>网站：</w:t>
      </w:r>
      <w:hyperlink r:id="rId7" w:history="1">
        <w:r w:rsidR="00D22C9F" w:rsidRPr="00B31EF4">
          <w:rPr>
            <w:rStyle w:val="af0"/>
            <w:rFonts w:ascii="黑体" w:eastAsia="黑体" w:cs="黑体"/>
          </w:rPr>
          <w:t>http://www.cpcaauto.com</w:t>
        </w:r>
      </w:hyperlink>
    </w:p>
    <w:p w14:paraId="3160EEC3" w14:textId="77777777" w:rsidR="00D22C9F" w:rsidRPr="00D22C9F" w:rsidRDefault="00D22C9F" w:rsidP="0094218D">
      <w:pPr>
        <w:rPr>
          <w:rFonts w:cs="Times New Roman"/>
        </w:rPr>
      </w:pPr>
    </w:p>
    <w:p w14:paraId="69F112F7" w14:textId="77777777" w:rsidR="0094218D" w:rsidRPr="002009FE" w:rsidRDefault="0094218D" w:rsidP="0094218D">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329D705" w14:textId="2A27C6E5" w:rsidR="00C41B10" w:rsidRPr="00CA7AA6" w:rsidRDefault="00665BF8" w:rsidP="00C41B10">
      <w:pPr>
        <w:numPr>
          <w:ilvl w:val="0"/>
          <w:numId w:val="2"/>
        </w:numPr>
        <w:outlineLvl w:val="1"/>
        <w:rPr>
          <w:rFonts w:ascii="黑体" w:eastAsia="黑体" w:hAnsi="黑体" w:cs="Times New Roman"/>
          <w:b/>
          <w:bCs/>
          <w:sz w:val="24"/>
        </w:rPr>
      </w:pPr>
      <w:r w:rsidRPr="00665BF8">
        <w:rPr>
          <w:rFonts w:ascii="黑体" w:eastAsia="黑体" w:hAnsi="黑体" w:cs="Times New Roman"/>
          <w:b/>
          <w:bCs/>
          <w:sz w:val="24"/>
        </w:rPr>
        <w:t>10月乘用车市场周度零售走势</w:t>
      </w:r>
    </w:p>
    <w:p w14:paraId="6F325DF6" w14:textId="43EE7907" w:rsidR="00CA7AA6" w:rsidRDefault="00CA7AA6" w:rsidP="00CA7AA6">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2EA5D0E5" wp14:editId="20F2431A">
            <wp:extent cx="4320000" cy="3205413"/>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13"/>
                    </a:xfrm>
                    <a:prstGeom prst="rect">
                      <a:avLst/>
                    </a:prstGeom>
                  </pic:spPr>
                </pic:pic>
              </a:graphicData>
            </a:graphic>
          </wp:inline>
        </w:drawing>
      </w:r>
    </w:p>
    <w:p w14:paraId="426F94FC" w14:textId="1E81A960" w:rsidR="00D22C9F" w:rsidRPr="00D22C9F" w:rsidRDefault="00D22C9F" w:rsidP="00D22C9F">
      <w:pPr>
        <w:jc w:val="center"/>
        <w:rPr>
          <w:rFonts w:ascii="Calibri" w:eastAsia="宋体" w:hAnsi="Calibri" w:cs="Times New Roman"/>
          <w:b/>
          <w:bCs/>
          <w:color w:val="FF0000"/>
          <w:szCs w:val="21"/>
        </w:rPr>
      </w:pPr>
      <w:r w:rsidRPr="00D22C9F">
        <w:rPr>
          <w:rFonts w:ascii="Calibri" w:eastAsia="宋体" w:hAnsi="Calibri" w:cs="Times New Roman" w:hint="eastAsia"/>
          <w:b/>
          <w:bCs/>
          <w:color w:val="FF0000"/>
          <w:szCs w:val="21"/>
        </w:rPr>
        <w:t>月末数据未齐，本月最后一周数据为暂估</w:t>
      </w:r>
    </w:p>
    <w:p w14:paraId="5731E77C" w14:textId="72A73970" w:rsidR="00665BF8" w:rsidRDefault="00C41B10" w:rsidP="00665BF8">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CA7AA6">
        <w:rPr>
          <w:rFonts w:ascii="Calibri" w:eastAsia="宋体" w:hAnsi="Calibri" w:cs="Times New Roman" w:hint="eastAsia"/>
          <w:szCs w:val="21"/>
        </w:rPr>
        <w:t>一</w:t>
      </w:r>
      <w:r>
        <w:rPr>
          <w:rFonts w:ascii="Calibri" w:eastAsia="宋体" w:hAnsi="Calibri" w:cs="Times New Roman" w:hint="eastAsia"/>
          <w:szCs w:val="21"/>
        </w:rPr>
        <w:t>周的市场零售达到日均</w:t>
      </w:r>
      <w:r>
        <w:rPr>
          <w:rFonts w:ascii="Calibri" w:eastAsia="宋体" w:hAnsi="Calibri" w:cs="Times New Roman"/>
          <w:szCs w:val="21"/>
        </w:rPr>
        <w:t>3.5</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3%</w:t>
      </w:r>
      <w:r w:rsidR="00665BF8">
        <w:rPr>
          <w:rFonts w:ascii="Calibri" w:eastAsia="宋体" w:hAnsi="Calibri" w:cs="Times New Roman" w:hint="eastAsia"/>
          <w:szCs w:val="21"/>
        </w:rPr>
        <w:t>。</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665BF8">
        <w:rPr>
          <w:rFonts w:ascii="Calibri" w:eastAsia="宋体" w:hAnsi="Calibri" w:cs="Times New Roman" w:hint="eastAsia"/>
          <w:szCs w:val="21"/>
        </w:rPr>
        <w:t>一</w:t>
      </w:r>
      <w:r>
        <w:rPr>
          <w:rFonts w:ascii="Calibri" w:eastAsia="宋体" w:hAnsi="Calibri" w:cs="Times New Roman" w:hint="eastAsia"/>
          <w:szCs w:val="21"/>
        </w:rPr>
        <w:t>周增</w:t>
      </w:r>
      <w:r>
        <w:rPr>
          <w:rFonts w:ascii="Calibri" w:eastAsia="宋体" w:hAnsi="Calibri" w:cs="Times New Roman"/>
          <w:szCs w:val="21"/>
        </w:rPr>
        <w:t>8%</w:t>
      </w:r>
      <w:r>
        <w:rPr>
          <w:rFonts w:ascii="Calibri" w:eastAsia="宋体" w:hAnsi="Calibri" w:cs="Times New Roman" w:hint="eastAsia"/>
          <w:szCs w:val="21"/>
        </w:rPr>
        <w:t>。</w:t>
      </w:r>
    </w:p>
    <w:p w14:paraId="377AC9B8" w14:textId="77777777" w:rsidR="00665BF8" w:rsidRDefault="00C41B10" w:rsidP="00665BF8">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665BF8">
        <w:rPr>
          <w:rFonts w:ascii="Calibri" w:eastAsia="宋体" w:hAnsi="Calibri" w:cs="Times New Roman" w:hint="eastAsia"/>
          <w:szCs w:val="21"/>
        </w:rPr>
        <w:t>二</w:t>
      </w:r>
      <w:r>
        <w:rPr>
          <w:rFonts w:ascii="Calibri" w:eastAsia="宋体" w:hAnsi="Calibri" w:cs="Times New Roman" w:hint="eastAsia"/>
          <w:szCs w:val="21"/>
        </w:rPr>
        <w:t>周的市场零售达到日均</w:t>
      </w:r>
      <w:r>
        <w:rPr>
          <w:rFonts w:ascii="Calibri" w:eastAsia="宋体" w:hAnsi="Calibri" w:cs="Times New Roman"/>
          <w:szCs w:val="21"/>
        </w:rPr>
        <w:t>4.6</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19%</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665BF8">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szCs w:val="21"/>
        </w:rPr>
        <w:t>15%</w:t>
      </w:r>
      <w:r>
        <w:rPr>
          <w:rFonts w:ascii="Calibri" w:eastAsia="宋体" w:hAnsi="Calibri" w:cs="Times New Roman" w:hint="eastAsia"/>
          <w:szCs w:val="21"/>
        </w:rPr>
        <w:t>。</w:t>
      </w:r>
    </w:p>
    <w:p w14:paraId="1D23AA8C" w14:textId="77777777" w:rsidR="00665BF8" w:rsidRDefault="00C41B10" w:rsidP="00665BF8">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665BF8">
        <w:rPr>
          <w:rFonts w:ascii="Calibri" w:eastAsia="宋体" w:hAnsi="Calibri" w:cs="Times New Roman" w:hint="eastAsia"/>
          <w:szCs w:val="21"/>
        </w:rPr>
        <w:t>三</w:t>
      </w:r>
      <w:r>
        <w:rPr>
          <w:rFonts w:ascii="Calibri" w:eastAsia="宋体" w:hAnsi="Calibri" w:cs="Times New Roman" w:hint="eastAsia"/>
          <w:szCs w:val="21"/>
        </w:rPr>
        <w:t>周的市场零售达到日均</w:t>
      </w:r>
      <w:r>
        <w:rPr>
          <w:rFonts w:ascii="Calibri" w:eastAsia="宋体" w:hAnsi="Calibri" w:cs="Times New Roman"/>
          <w:szCs w:val="21"/>
        </w:rPr>
        <w:t>5.2</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10%</w:t>
      </w:r>
      <w:r>
        <w:rPr>
          <w:rFonts w:ascii="Calibri" w:eastAsia="宋体" w:hAnsi="Calibri" w:cs="Times New Roman" w:hint="eastAsia"/>
          <w:szCs w:val="21"/>
        </w:rPr>
        <w:t>。相对今年</w:t>
      </w:r>
      <w:r>
        <w:rPr>
          <w:rFonts w:ascii="Calibri" w:eastAsia="宋体" w:hAnsi="Calibri" w:cs="Times New Roman"/>
          <w:szCs w:val="21"/>
        </w:rPr>
        <w:t>9</w:t>
      </w:r>
      <w:r>
        <w:rPr>
          <w:rFonts w:ascii="Calibri" w:eastAsia="宋体" w:hAnsi="Calibri" w:cs="Times New Roman" w:hint="eastAsia"/>
          <w:szCs w:val="21"/>
        </w:rPr>
        <w:t>月的第</w:t>
      </w:r>
      <w:r w:rsidR="00665BF8">
        <w:rPr>
          <w:rFonts w:ascii="Calibri" w:eastAsia="宋体" w:hAnsi="Calibri" w:cs="Times New Roman" w:hint="eastAsia"/>
          <w:szCs w:val="21"/>
        </w:rPr>
        <w:t>三</w:t>
      </w:r>
      <w:r>
        <w:rPr>
          <w:rFonts w:ascii="Calibri" w:eastAsia="宋体" w:hAnsi="Calibri" w:cs="Times New Roman" w:hint="eastAsia"/>
          <w:szCs w:val="21"/>
        </w:rPr>
        <w:t>周增长</w:t>
      </w:r>
      <w:r>
        <w:rPr>
          <w:rFonts w:ascii="Calibri" w:eastAsia="宋体" w:hAnsi="Calibri" w:cs="Times New Roman"/>
          <w:szCs w:val="21"/>
        </w:rPr>
        <w:t>4%</w:t>
      </w:r>
      <w:r>
        <w:rPr>
          <w:rFonts w:ascii="Calibri" w:eastAsia="宋体" w:hAnsi="Calibri" w:cs="Times New Roman" w:hint="eastAsia"/>
          <w:szCs w:val="21"/>
        </w:rPr>
        <w:t>。</w:t>
      </w:r>
    </w:p>
    <w:p w14:paraId="2EC3C543" w14:textId="143CD25B" w:rsidR="00665BF8" w:rsidRDefault="006F0B15" w:rsidP="00665BF8">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665BF8">
        <w:rPr>
          <w:rFonts w:ascii="Calibri" w:eastAsia="宋体" w:hAnsi="Calibri" w:cs="Times New Roman" w:hint="eastAsia"/>
          <w:szCs w:val="21"/>
        </w:rPr>
        <w:t>四</w:t>
      </w:r>
      <w:r>
        <w:rPr>
          <w:rFonts w:ascii="Calibri" w:eastAsia="宋体" w:hAnsi="Calibri" w:cs="Times New Roman" w:hint="eastAsia"/>
          <w:szCs w:val="21"/>
        </w:rPr>
        <w:t>周的市场零售达到日均</w:t>
      </w:r>
      <w:r>
        <w:rPr>
          <w:rFonts w:ascii="Calibri" w:eastAsia="宋体" w:hAnsi="Calibri" w:cs="Times New Roman"/>
          <w:szCs w:val="21"/>
        </w:rPr>
        <w:t>9.</w:t>
      </w:r>
      <w:r w:rsidR="00AA2117">
        <w:rPr>
          <w:rFonts w:ascii="Calibri" w:eastAsia="宋体" w:hAnsi="Calibri" w:cs="Times New Roman"/>
          <w:szCs w:val="21"/>
        </w:rPr>
        <w:t>4</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w:t>
      </w:r>
      <w:r w:rsidR="00AA2117">
        <w:rPr>
          <w:rFonts w:ascii="Calibri" w:eastAsia="宋体" w:hAnsi="Calibri" w:cs="Times New Roman"/>
          <w:szCs w:val="21"/>
        </w:rPr>
        <w:t>5</w:t>
      </w:r>
      <w:r>
        <w:rPr>
          <w:rFonts w:ascii="Calibri" w:eastAsia="宋体" w:hAnsi="Calibri" w:cs="Times New Roman"/>
          <w:szCs w:val="21"/>
        </w:rPr>
        <w:t>%</w:t>
      </w:r>
      <w:r>
        <w:rPr>
          <w:rFonts w:ascii="Calibri" w:eastAsia="宋体" w:hAnsi="Calibri" w:cs="Times New Roman" w:hint="eastAsia"/>
          <w:szCs w:val="21"/>
        </w:rPr>
        <w:t>，表现相对偏弱。相对今年</w:t>
      </w:r>
      <w:r>
        <w:rPr>
          <w:rFonts w:ascii="Calibri" w:eastAsia="宋体" w:hAnsi="Calibri" w:cs="Times New Roman"/>
          <w:szCs w:val="21"/>
        </w:rPr>
        <w:t>9</w:t>
      </w:r>
      <w:r>
        <w:rPr>
          <w:rFonts w:ascii="Calibri" w:eastAsia="宋体" w:hAnsi="Calibri" w:cs="Times New Roman" w:hint="eastAsia"/>
          <w:szCs w:val="21"/>
        </w:rPr>
        <w:t>月的第</w:t>
      </w:r>
      <w:r w:rsidR="001A0DB6">
        <w:rPr>
          <w:rFonts w:ascii="Calibri" w:eastAsia="宋体" w:hAnsi="Calibri" w:cs="Times New Roman" w:hint="eastAsia"/>
          <w:szCs w:val="21"/>
        </w:rPr>
        <w:t>四</w:t>
      </w:r>
      <w:r>
        <w:rPr>
          <w:rFonts w:ascii="Calibri" w:eastAsia="宋体" w:hAnsi="Calibri" w:cs="Times New Roman" w:hint="eastAsia"/>
          <w:szCs w:val="21"/>
        </w:rPr>
        <w:t>周下降</w:t>
      </w:r>
      <w:r w:rsidR="00AA2117">
        <w:rPr>
          <w:rFonts w:ascii="Calibri" w:eastAsia="宋体" w:hAnsi="Calibri" w:cs="Times New Roman"/>
          <w:szCs w:val="21"/>
        </w:rPr>
        <w:t>8</w:t>
      </w:r>
      <w:r>
        <w:rPr>
          <w:rFonts w:ascii="Calibri" w:eastAsia="宋体" w:hAnsi="Calibri" w:cs="Times New Roman"/>
          <w:szCs w:val="21"/>
        </w:rPr>
        <w:t>%</w:t>
      </w:r>
      <w:r>
        <w:rPr>
          <w:rFonts w:ascii="Calibri" w:eastAsia="宋体" w:hAnsi="Calibri" w:cs="Times New Roman" w:hint="eastAsia"/>
          <w:szCs w:val="21"/>
        </w:rPr>
        <w:t>。</w:t>
      </w:r>
    </w:p>
    <w:p w14:paraId="18D8A3B4" w14:textId="77777777" w:rsidR="00A37336" w:rsidRDefault="00665BF8" w:rsidP="00A37336">
      <w:pPr>
        <w:ind w:firstLineChars="200" w:firstLine="420"/>
        <w:rPr>
          <w:rFonts w:ascii="Calibri" w:eastAsia="宋体" w:hAnsi="Calibri" w:cs="Times New Roman"/>
          <w:szCs w:val="21"/>
        </w:rPr>
      </w:pPr>
      <w:r>
        <w:rPr>
          <w:rFonts w:ascii="Calibri" w:eastAsia="宋体" w:hAnsi="Calibri" w:cs="Times New Roman" w:hint="eastAsia"/>
          <w:szCs w:val="21"/>
        </w:rPr>
        <w:t>初步估算</w:t>
      </w:r>
      <w:r w:rsidR="00C41B10">
        <w:rPr>
          <w:rFonts w:ascii="Calibri" w:eastAsia="宋体" w:hAnsi="Calibri" w:cs="Times New Roman" w:hint="eastAsia"/>
          <w:szCs w:val="21"/>
        </w:rPr>
        <w:t>今年</w:t>
      </w:r>
      <w:r w:rsidR="00C41B10">
        <w:rPr>
          <w:rFonts w:ascii="Calibri" w:eastAsia="宋体" w:hAnsi="Calibri" w:cs="Times New Roman"/>
          <w:szCs w:val="21"/>
        </w:rPr>
        <w:t>10</w:t>
      </w:r>
      <w:r w:rsidR="00C41B10">
        <w:rPr>
          <w:rFonts w:ascii="Calibri" w:eastAsia="宋体" w:hAnsi="Calibri" w:cs="Times New Roman" w:hint="eastAsia"/>
          <w:szCs w:val="21"/>
        </w:rPr>
        <w:t>月总体同比下降</w:t>
      </w:r>
      <w:r w:rsidR="00C41B10">
        <w:rPr>
          <w:rFonts w:ascii="Calibri" w:eastAsia="宋体" w:hAnsi="Calibri" w:cs="Times New Roman"/>
          <w:szCs w:val="21"/>
        </w:rPr>
        <w:t>1</w:t>
      </w:r>
      <w:r w:rsidR="00AA2117">
        <w:rPr>
          <w:rFonts w:ascii="Calibri" w:eastAsia="宋体" w:hAnsi="Calibri" w:cs="Times New Roman"/>
          <w:szCs w:val="21"/>
        </w:rPr>
        <w:t>2</w:t>
      </w:r>
      <w:r w:rsidR="00C41B10">
        <w:rPr>
          <w:rFonts w:ascii="Calibri" w:eastAsia="宋体" w:hAnsi="Calibri" w:cs="Times New Roman"/>
          <w:szCs w:val="21"/>
        </w:rPr>
        <w:t>%</w:t>
      </w:r>
      <w:r w:rsidR="00C41B10">
        <w:rPr>
          <w:rFonts w:ascii="Calibri" w:eastAsia="宋体" w:hAnsi="Calibri" w:cs="Times New Roman" w:hint="eastAsia"/>
          <w:szCs w:val="21"/>
        </w:rPr>
        <w:t>，零售走势较平淡的。</w:t>
      </w:r>
      <w:r w:rsidR="00AA2117">
        <w:rPr>
          <w:rFonts w:ascii="Calibri" w:eastAsia="宋体" w:hAnsi="Calibri" w:cs="Times New Roman" w:hint="eastAsia"/>
          <w:szCs w:val="21"/>
        </w:rPr>
        <w:t>1</w:t>
      </w:r>
      <w:r w:rsidR="00AA2117">
        <w:rPr>
          <w:rFonts w:ascii="Calibri" w:eastAsia="宋体" w:hAnsi="Calibri" w:cs="Times New Roman"/>
          <w:szCs w:val="21"/>
        </w:rPr>
        <w:t>0</w:t>
      </w:r>
      <w:r>
        <w:rPr>
          <w:rFonts w:ascii="Calibri" w:eastAsia="宋体" w:hAnsi="Calibri" w:cs="Times New Roman" w:hint="eastAsia"/>
          <w:szCs w:val="21"/>
        </w:rPr>
        <w:t>月</w:t>
      </w:r>
      <w:r w:rsidR="00290551">
        <w:rPr>
          <w:rFonts w:ascii="Calibri" w:eastAsia="宋体" w:hAnsi="Calibri" w:cs="Times New Roman" w:hint="eastAsia"/>
          <w:szCs w:val="21"/>
        </w:rPr>
        <w:t>疫情反复带来一定的消费干扰，目前影响不大。</w:t>
      </w:r>
      <w:r w:rsidR="00C41B10">
        <w:rPr>
          <w:rFonts w:ascii="Calibri" w:eastAsia="宋体" w:hAnsi="Calibri" w:cs="Times New Roman" w:hint="eastAsia"/>
          <w:szCs w:val="21"/>
        </w:rPr>
        <w:t>消费政策转型降低家庭成本，有利于车市恢复。消费者对于车辆的需求持续回升</w:t>
      </w:r>
      <w:r w:rsidR="00A37336">
        <w:rPr>
          <w:rFonts w:ascii="Calibri" w:eastAsia="宋体" w:hAnsi="Calibri" w:cs="Times New Roman" w:hint="eastAsia"/>
          <w:szCs w:val="21"/>
        </w:rPr>
        <w:t>，</w:t>
      </w:r>
      <w:r w:rsidR="00C41B10">
        <w:rPr>
          <w:rFonts w:ascii="Calibri" w:eastAsia="宋体" w:hAnsi="Calibri" w:cs="Times New Roman" w:hint="eastAsia"/>
          <w:szCs w:val="21"/>
        </w:rPr>
        <w:t>使得低智能化的车型，尤其是合资老款车型得以进一步回升销量。</w:t>
      </w:r>
    </w:p>
    <w:p w14:paraId="4A4EFDD5" w14:textId="77777777" w:rsidR="00A37336" w:rsidRDefault="00C41B10" w:rsidP="00A37336">
      <w:pPr>
        <w:ind w:firstLineChars="200" w:firstLine="420"/>
        <w:rPr>
          <w:rFonts w:ascii="Calibri" w:eastAsia="宋体" w:hAnsi="Calibri" w:cs="Times New Roman"/>
          <w:szCs w:val="21"/>
        </w:rPr>
      </w:pPr>
      <w:r>
        <w:rPr>
          <w:rFonts w:ascii="Calibri" w:eastAsia="宋体" w:hAnsi="Calibri" w:cs="Times New Roman" w:hint="eastAsia"/>
          <w:szCs w:val="21"/>
        </w:rPr>
        <w:t>芯片供应除了产能因素外，增加了人为因素，更加复杂化，变得不可预期。芯片短缺导致的供给不足短期难以解决，旺季效应下短缺压力更大；部分地区突发疫情，情况不稳，需求端不能完全释放。</w:t>
      </w:r>
    </w:p>
    <w:p w14:paraId="7CAE673A" w14:textId="4BEB2284" w:rsidR="00C41B10" w:rsidRDefault="00C41B10" w:rsidP="00A37336">
      <w:pPr>
        <w:ind w:firstLineChars="200" w:firstLine="420"/>
        <w:rPr>
          <w:rFonts w:ascii="Calibri" w:eastAsia="宋体" w:hAnsi="Calibri" w:cs="Times New Roman"/>
          <w:szCs w:val="21"/>
        </w:rPr>
      </w:pPr>
      <w:r>
        <w:rPr>
          <w:rFonts w:ascii="Calibri" w:eastAsia="宋体" w:hAnsi="Calibri" w:cs="Times New Roman" w:hint="eastAsia"/>
          <w:szCs w:val="21"/>
        </w:rPr>
        <w:t>终端供应不足带来的加价，导致消费者观望情绪加重。恒大等</w:t>
      </w:r>
      <w:r w:rsidR="00A37336">
        <w:rPr>
          <w:rFonts w:ascii="Calibri" w:eastAsia="宋体" w:hAnsi="Calibri" w:cs="Times New Roman" w:hint="eastAsia"/>
          <w:szCs w:val="21"/>
        </w:rPr>
        <w:t>房地产行业</w:t>
      </w:r>
      <w:r>
        <w:rPr>
          <w:rFonts w:ascii="Calibri" w:eastAsia="宋体" w:hAnsi="Calibri" w:cs="Times New Roman" w:hint="eastAsia"/>
          <w:szCs w:val="21"/>
        </w:rPr>
        <w:t>的债务问题直接影响了大宗商品的消费，包括金融信贷的收缩。</w:t>
      </w:r>
    </w:p>
    <w:p w14:paraId="49BB2903" w14:textId="77777777" w:rsidR="00C41B10" w:rsidRDefault="00C41B10" w:rsidP="00C41B10">
      <w:pPr>
        <w:ind w:firstLineChars="135" w:firstLine="283"/>
        <w:rPr>
          <w:rFonts w:ascii="Calibri" w:eastAsia="宋体" w:hAnsi="Calibri" w:cs="Times New Roman"/>
          <w:szCs w:val="21"/>
        </w:rPr>
      </w:pPr>
    </w:p>
    <w:p w14:paraId="2C212531" w14:textId="77777777" w:rsidR="00C41B10" w:rsidRDefault="00C41B10" w:rsidP="00C41B10">
      <w:pPr>
        <w:ind w:firstLineChars="135" w:firstLine="283"/>
        <w:rPr>
          <w:rFonts w:ascii="Calibri" w:eastAsia="宋体" w:hAnsi="Calibri" w:cs="Times New Roman"/>
          <w:szCs w:val="21"/>
        </w:rPr>
      </w:pPr>
    </w:p>
    <w:p w14:paraId="29912554" w14:textId="1299C556" w:rsidR="00C41B10" w:rsidRPr="004766BA" w:rsidRDefault="00665BF8" w:rsidP="00C41B10">
      <w:pPr>
        <w:numPr>
          <w:ilvl w:val="0"/>
          <w:numId w:val="2"/>
        </w:numPr>
        <w:outlineLvl w:val="1"/>
        <w:rPr>
          <w:rFonts w:ascii="黑体" w:eastAsia="黑体" w:hAnsi="黑体" w:cs="Times New Roman"/>
          <w:b/>
          <w:bCs/>
          <w:sz w:val="24"/>
        </w:rPr>
      </w:pPr>
      <w:r w:rsidRPr="00665BF8">
        <w:rPr>
          <w:rFonts w:ascii="黑体" w:eastAsia="黑体" w:hAnsi="黑体" w:cs="Times New Roman"/>
          <w:b/>
          <w:bCs/>
          <w:sz w:val="24"/>
        </w:rPr>
        <w:lastRenderedPageBreak/>
        <w:t>10月乘用车市场周度批发走势</w:t>
      </w:r>
    </w:p>
    <w:p w14:paraId="01ABDD9E" w14:textId="6FA84B9C" w:rsidR="004766BA" w:rsidRDefault="004766BA" w:rsidP="004766BA">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2669A4D2" wp14:editId="3E0FBFDC">
            <wp:extent cx="4320000" cy="3206973"/>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4051E2C7" w14:textId="0B40F534" w:rsidR="00C41B10" w:rsidRPr="004766BA" w:rsidRDefault="004766BA" w:rsidP="004766BA">
      <w:pPr>
        <w:jc w:val="center"/>
        <w:rPr>
          <w:rFonts w:ascii="Calibri" w:eastAsia="宋体" w:hAnsi="Calibri" w:cs="Times New Roman"/>
          <w:b/>
          <w:bCs/>
          <w:color w:val="FF0000"/>
          <w:szCs w:val="21"/>
        </w:rPr>
      </w:pPr>
      <w:r w:rsidRPr="00D22C9F">
        <w:rPr>
          <w:rFonts w:ascii="Calibri" w:eastAsia="宋体" w:hAnsi="Calibri" w:cs="Times New Roman" w:hint="eastAsia"/>
          <w:b/>
          <w:bCs/>
          <w:color w:val="FF0000"/>
          <w:szCs w:val="21"/>
        </w:rPr>
        <w:t>月末数据未齐，本月最后一周数据为暂估</w:t>
      </w:r>
    </w:p>
    <w:p w14:paraId="27B1048C" w14:textId="77777777" w:rsidR="000B170D" w:rsidRDefault="00C41B10" w:rsidP="000B170D">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4766BA">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szCs w:val="21"/>
        </w:rPr>
        <w:t>2.</w:t>
      </w:r>
      <w:r w:rsidR="004766BA">
        <w:rPr>
          <w:rFonts w:ascii="Calibri" w:eastAsia="宋体" w:hAnsi="Calibri" w:cs="Times New Roman"/>
          <w:szCs w:val="21"/>
        </w:rPr>
        <w:t>4</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8%</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月第一周的销量下降</w:t>
      </w:r>
      <w:r>
        <w:rPr>
          <w:rFonts w:ascii="Calibri" w:eastAsia="宋体" w:hAnsi="Calibri" w:cs="Times New Roman"/>
          <w:szCs w:val="21"/>
        </w:rPr>
        <w:t>16%</w:t>
      </w:r>
      <w:r w:rsidR="000B170D">
        <w:rPr>
          <w:rFonts w:ascii="Calibri" w:eastAsia="宋体" w:hAnsi="Calibri" w:cs="Times New Roman" w:hint="eastAsia"/>
          <w:szCs w:val="21"/>
        </w:rPr>
        <w:t>。</w:t>
      </w:r>
    </w:p>
    <w:p w14:paraId="11A03B76" w14:textId="77777777" w:rsidR="000B170D" w:rsidRDefault="00C41B10" w:rsidP="000B170D">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0B170D">
        <w:rPr>
          <w:rFonts w:ascii="Calibri" w:eastAsia="宋体" w:hAnsi="Calibri" w:cs="Times New Roman" w:hint="eastAsia"/>
          <w:szCs w:val="21"/>
        </w:rPr>
        <w:t>二</w:t>
      </w:r>
      <w:r>
        <w:rPr>
          <w:rFonts w:ascii="Calibri" w:eastAsia="宋体" w:hAnsi="Calibri" w:cs="Times New Roman" w:hint="eastAsia"/>
          <w:szCs w:val="21"/>
        </w:rPr>
        <w:t>周日均批发</w:t>
      </w:r>
      <w:r>
        <w:rPr>
          <w:rFonts w:ascii="Calibri" w:eastAsia="宋体" w:hAnsi="Calibri" w:cs="Times New Roman"/>
          <w:szCs w:val="21"/>
        </w:rPr>
        <w:t>5.</w:t>
      </w:r>
      <w:r w:rsidR="000B170D">
        <w:rPr>
          <w:rFonts w:ascii="Calibri" w:eastAsia="宋体" w:hAnsi="Calibri" w:cs="Times New Roman"/>
          <w:szCs w:val="21"/>
        </w:rPr>
        <w:t>1</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9%</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w:t>
      </w:r>
      <w:r w:rsidR="000B170D">
        <w:rPr>
          <w:rFonts w:ascii="Calibri" w:eastAsia="宋体" w:hAnsi="Calibri" w:cs="Times New Roman" w:hint="eastAsia"/>
          <w:szCs w:val="21"/>
        </w:rPr>
        <w:t>二</w:t>
      </w:r>
      <w:r>
        <w:rPr>
          <w:rFonts w:ascii="Calibri" w:eastAsia="宋体" w:hAnsi="Calibri" w:cs="Times New Roman" w:hint="eastAsia"/>
          <w:szCs w:val="21"/>
        </w:rPr>
        <w:t>周的销量增长</w:t>
      </w:r>
      <w:r>
        <w:rPr>
          <w:rFonts w:ascii="Calibri" w:eastAsia="宋体" w:hAnsi="Calibri" w:cs="Times New Roman"/>
          <w:szCs w:val="21"/>
        </w:rPr>
        <w:t>38%</w:t>
      </w:r>
      <w:r>
        <w:rPr>
          <w:rFonts w:ascii="Calibri" w:eastAsia="宋体" w:hAnsi="Calibri" w:cs="Times New Roman" w:hint="eastAsia"/>
          <w:szCs w:val="21"/>
        </w:rPr>
        <w:t>。</w:t>
      </w:r>
    </w:p>
    <w:p w14:paraId="3C470A8B" w14:textId="77777777" w:rsidR="000B170D" w:rsidRDefault="00C41B10" w:rsidP="000B170D">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0B170D">
        <w:rPr>
          <w:rFonts w:ascii="Calibri" w:eastAsia="宋体" w:hAnsi="Calibri" w:cs="Times New Roman" w:hint="eastAsia"/>
          <w:szCs w:val="21"/>
        </w:rPr>
        <w:t>三</w:t>
      </w:r>
      <w:r>
        <w:rPr>
          <w:rFonts w:ascii="Calibri" w:eastAsia="宋体" w:hAnsi="Calibri" w:cs="Times New Roman" w:hint="eastAsia"/>
          <w:szCs w:val="21"/>
        </w:rPr>
        <w:t>周日均批发</w:t>
      </w:r>
      <w:r>
        <w:rPr>
          <w:rFonts w:ascii="Calibri" w:eastAsia="宋体" w:hAnsi="Calibri" w:cs="Times New Roman"/>
          <w:szCs w:val="21"/>
        </w:rPr>
        <w:t>5.</w:t>
      </w:r>
      <w:r w:rsidR="000B170D">
        <w:rPr>
          <w:rFonts w:ascii="Calibri" w:eastAsia="宋体" w:hAnsi="Calibri" w:cs="Times New Roman"/>
          <w:szCs w:val="21"/>
        </w:rPr>
        <w:t>5</w:t>
      </w:r>
      <w:r w:rsidR="00665BF8">
        <w:rPr>
          <w:rFonts w:ascii="Calibri" w:eastAsia="宋体" w:hAnsi="Calibri" w:cs="Times New Roman" w:hint="eastAsia"/>
          <w:szCs w:val="21"/>
        </w:rPr>
        <w:t>万辆</w:t>
      </w:r>
      <w:r>
        <w:rPr>
          <w:rFonts w:ascii="Calibri" w:eastAsia="宋体" w:hAnsi="Calibri" w:cs="Times New Roman" w:hint="eastAsia"/>
          <w:szCs w:val="21"/>
        </w:rPr>
        <w:t>，同比下降</w:t>
      </w:r>
      <w:r>
        <w:rPr>
          <w:rFonts w:ascii="Calibri" w:eastAsia="宋体" w:hAnsi="Calibri" w:cs="Times New Roman"/>
          <w:szCs w:val="21"/>
        </w:rPr>
        <w:t>17%</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w:t>
      </w:r>
      <w:r w:rsidR="000B170D">
        <w:rPr>
          <w:rFonts w:ascii="Calibri" w:eastAsia="宋体" w:hAnsi="Calibri" w:cs="Times New Roman" w:hint="eastAsia"/>
          <w:szCs w:val="21"/>
        </w:rPr>
        <w:t>三</w:t>
      </w:r>
      <w:r>
        <w:rPr>
          <w:rFonts w:ascii="Calibri" w:eastAsia="宋体" w:hAnsi="Calibri" w:cs="Times New Roman" w:hint="eastAsia"/>
          <w:szCs w:val="21"/>
        </w:rPr>
        <w:t>周的销量增长</w:t>
      </w:r>
      <w:r>
        <w:rPr>
          <w:rFonts w:ascii="Calibri" w:eastAsia="宋体" w:hAnsi="Calibri" w:cs="Times New Roman"/>
          <w:szCs w:val="21"/>
        </w:rPr>
        <w:t>6%</w:t>
      </w:r>
      <w:r>
        <w:rPr>
          <w:rFonts w:ascii="Calibri" w:eastAsia="宋体" w:hAnsi="Calibri" w:cs="Times New Roman" w:hint="eastAsia"/>
          <w:szCs w:val="21"/>
        </w:rPr>
        <w:t>。</w:t>
      </w:r>
    </w:p>
    <w:p w14:paraId="73CDDD51" w14:textId="77777777" w:rsidR="000B170D" w:rsidRDefault="00290551" w:rsidP="000B170D">
      <w:pPr>
        <w:ind w:firstLineChars="200" w:firstLine="420"/>
        <w:rPr>
          <w:rFonts w:ascii="Calibri" w:eastAsia="宋体" w:hAnsi="Calibri" w:cs="Times New Roman"/>
          <w:szCs w:val="21"/>
        </w:rPr>
      </w:pPr>
      <w:r>
        <w:rPr>
          <w:rFonts w:ascii="Calibri" w:eastAsia="宋体" w:hAnsi="Calibri" w:cs="Times New Roman"/>
          <w:szCs w:val="21"/>
        </w:rPr>
        <w:t>10</w:t>
      </w:r>
      <w:r>
        <w:rPr>
          <w:rFonts w:ascii="Calibri" w:eastAsia="宋体" w:hAnsi="Calibri" w:cs="Times New Roman" w:hint="eastAsia"/>
          <w:szCs w:val="21"/>
        </w:rPr>
        <w:t>月第</w:t>
      </w:r>
      <w:r w:rsidR="000B170D">
        <w:rPr>
          <w:rFonts w:ascii="Calibri" w:eastAsia="宋体" w:hAnsi="Calibri" w:cs="Times New Roman" w:hint="eastAsia"/>
          <w:szCs w:val="21"/>
        </w:rPr>
        <w:t>四</w:t>
      </w:r>
      <w:r>
        <w:rPr>
          <w:rFonts w:ascii="Calibri" w:eastAsia="宋体" w:hAnsi="Calibri" w:cs="Times New Roman" w:hint="eastAsia"/>
          <w:szCs w:val="21"/>
        </w:rPr>
        <w:t>周日均批发</w:t>
      </w:r>
      <w:r>
        <w:rPr>
          <w:rFonts w:ascii="Calibri" w:eastAsia="宋体" w:hAnsi="Calibri" w:cs="Times New Roman"/>
          <w:szCs w:val="21"/>
        </w:rPr>
        <w:t>12.7</w:t>
      </w:r>
      <w:r w:rsidR="00665BF8">
        <w:rPr>
          <w:rFonts w:ascii="Calibri" w:eastAsia="宋体" w:hAnsi="Calibri" w:cs="Times New Roman" w:hint="eastAsia"/>
          <w:szCs w:val="21"/>
        </w:rPr>
        <w:t>万辆</w:t>
      </w:r>
      <w:r>
        <w:rPr>
          <w:rFonts w:ascii="Calibri" w:eastAsia="宋体" w:hAnsi="Calibri" w:cs="Times New Roman" w:hint="eastAsia"/>
          <w:szCs w:val="21"/>
        </w:rPr>
        <w:t>，同比增长</w:t>
      </w:r>
      <w:r>
        <w:rPr>
          <w:rFonts w:ascii="Calibri" w:eastAsia="宋体" w:hAnsi="Calibri" w:cs="Times New Roman" w:hint="eastAsia"/>
          <w:szCs w:val="21"/>
        </w:rPr>
        <w:t>1</w:t>
      </w:r>
      <w:r>
        <w:rPr>
          <w:rFonts w:ascii="Calibri" w:eastAsia="宋体" w:hAnsi="Calibri" w:cs="Times New Roman"/>
          <w:szCs w:val="21"/>
        </w:rPr>
        <w:t>%</w:t>
      </w:r>
      <w:r>
        <w:rPr>
          <w:rFonts w:ascii="Calibri" w:eastAsia="宋体" w:hAnsi="Calibri" w:cs="Times New Roman" w:hint="eastAsia"/>
          <w:szCs w:val="21"/>
        </w:rPr>
        <w:t>。本周相对于</w:t>
      </w:r>
      <w:r>
        <w:rPr>
          <w:rFonts w:ascii="Calibri" w:eastAsia="宋体" w:hAnsi="Calibri" w:cs="Times New Roman"/>
          <w:szCs w:val="21"/>
        </w:rPr>
        <w:t>9</w:t>
      </w:r>
      <w:r>
        <w:rPr>
          <w:rFonts w:ascii="Calibri" w:eastAsia="宋体" w:hAnsi="Calibri" w:cs="Times New Roman" w:hint="eastAsia"/>
          <w:szCs w:val="21"/>
        </w:rPr>
        <w:t>月第</w:t>
      </w:r>
      <w:r w:rsidR="000B170D">
        <w:rPr>
          <w:rFonts w:ascii="Calibri" w:eastAsia="宋体" w:hAnsi="Calibri" w:cs="Times New Roman" w:hint="eastAsia"/>
          <w:szCs w:val="21"/>
        </w:rPr>
        <w:t>四</w:t>
      </w:r>
      <w:r>
        <w:rPr>
          <w:rFonts w:ascii="Calibri" w:eastAsia="宋体" w:hAnsi="Calibri" w:cs="Times New Roman" w:hint="eastAsia"/>
          <w:szCs w:val="21"/>
        </w:rPr>
        <w:t>周的销量增长</w:t>
      </w:r>
      <w:r>
        <w:rPr>
          <w:rFonts w:ascii="Calibri" w:eastAsia="宋体" w:hAnsi="Calibri" w:cs="Times New Roman"/>
          <w:szCs w:val="21"/>
        </w:rPr>
        <w:t>1%</w:t>
      </w:r>
      <w:r>
        <w:rPr>
          <w:rFonts w:ascii="Calibri" w:eastAsia="宋体" w:hAnsi="Calibri" w:cs="Times New Roman" w:hint="eastAsia"/>
          <w:szCs w:val="21"/>
        </w:rPr>
        <w:t>，体现供给的改善。</w:t>
      </w:r>
    </w:p>
    <w:p w14:paraId="73A8E300" w14:textId="5B479BCD" w:rsidR="00C41B10" w:rsidRDefault="000B170D" w:rsidP="000B170D">
      <w:pPr>
        <w:ind w:firstLineChars="200" w:firstLine="420"/>
        <w:rPr>
          <w:rFonts w:ascii="Calibri" w:eastAsia="宋体" w:hAnsi="Calibri" w:cs="Times New Roman"/>
          <w:szCs w:val="21"/>
        </w:rPr>
      </w:pPr>
      <w:r>
        <w:rPr>
          <w:rFonts w:ascii="Calibri" w:eastAsia="宋体" w:hAnsi="Calibri" w:cs="Times New Roman" w:hint="eastAsia"/>
          <w:szCs w:val="21"/>
        </w:rPr>
        <w:t>初步估算</w:t>
      </w:r>
      <w:r w:rsidR="00C41B10">
        <w:rPr>
          <w:rFonts w:ascii="Calibri" w:eastAsia="宋体" w:hAnsi="Calibri" w:cs="Times New Roman" w:hint="eastAsia"/>
          <w:szCs w:val="21"/>
        </w:rPr>
        <w:t>今年</w:t>
      </w:r>
      <w:r w:rsidR="00C41B10">
        <w:rPr>
          <w:rFonts w:ascii="Calibri" w:eastAsia="宋体" w:hAnsi="Calibri" w:cs="Times New Roman"/>
          <w:szCs w:val="21"/>
        </w:rPr>
        <w:t>10</w:t>
      </w:r>
      <w:r w:rsidR="00C41B10">
        <w:rPr>
          <w:rFonts w:ascii="Calibri" w:eastAsia="宋体" w:hAnsi="Calibri" w:cs="Times New Roman" w:hint="eastAsia"/>
          <w:szCs w:val="21"/>
        </w:rPr>
        <w:t>月</w:t>
      </w:r>
      <w:r>
        <w:rPr>
          <w:rFonts w:ascii="Calibri" w:eastAsia="宋体" w:hAnsi="Calibri" w:cs="Times New Roman" w:hint="eastAsia"/>
          <w:szCs w:val="21"/>
        </w:rPr>
        <w:t>厂商</w:t>
      </w:r>
      <w:r w:rsidR="00C41B10">
        <w:rPr>
          <w:rFonts w:ascii="Calibri" w:eastAsia="宋体" w:hAnsi="Calibri" w:cs="Times New Roman" w:hint="eastAsia"/>
          <w:szCs w:val="21"/>
        </w:rPr>
        <w:t>批发总体同比下降</w:t>
      </w:r>
      <w:r w:rsidR="0055679D">
        <w:rPr>
          <w:rFonts w:ascii="Calibri" w:eastAsia="宋体" w:hAnsi="Calibri" w:cs="Times New Roman"/>
          <w:szCs w:val="21"/>
        </w:rPr>
        <w:t>7</w:t>
      </w:r>
      <w:r w:rsidR="00C41B10">
        <w:rPr>
          <w:rFonts w:ascii="Calibri" w:eastAsia="宋体" w:hAnsi="Calibri" w:cs="Times New Roman"/>
          <w:szCs w:val="21"/>
        </w:rPr>
        <w:t>%</w:t>
      </w:r>
      <w:r w:rsidR="00C41B10">
        <w:rPr>
          <w:rFonts w:ascii="Calibri" w:eastAsia="宋体" w:hAnsi="Calibri" w:cs="Times New Roman" w:hint="eastAsia"/>
          <w:szCs w:val="21"/>
        </w:rPr>
        <w:t>，环比</w:t>
      </w:r>
      <w:r w:rsidR="00C41B10">
        <w:rPr>
          <w:rFonts w:ascii="Calibri" w:eastAsia="宋体" w:hAnsi="Calibri" w:cs="Times New Roman"/>
          <w:szCs w:val="21"/>
        </w:rPr>
        <w:t>9</w:t>
      </w:r>
      <w:r w:rsidR="00C41B10">
        <w:rPr>
          <w:rFonts w:ascii="Calibri" w:eastAsia="宋体" w:hAnsi="Calibri" w:cs="Times New Roman" w:hint="eastAsia"/>
          <w:szCs w:val="21"/>
        </w:rPr>
        <w:t>月增长</w:t>
      </w:r>
      <w:r w:rsidR="00290551">
        <w:rPr>
          <w:rFonts w:ascii="Calibri" w:eastAsia="宋体" w:hAnsi="Calibri" w:cs="Times New Roman"/>
          <w:szCs w:val="21"/>
        </w:rPr>
        <w:t>13</w:t>
      </w:r>
      <w:r w:rsidR="00C41B10">
        <w:rPr>
          <w:rFonts w:ascii="Calibri" w:eastAsia="宋体" w:hAnsi="Calibri" w:cs="Times New Roman"/>
          <w:szCs w:val="21"/>
        </w:rPr>
        <w:t>%</w:t>
      </w:r>
      <w:r w:rsidR="00C41B10">
        <w:rPr>
          <w:rFonts w:ascii="Calibri" w:eastAsia="宋体" w:hAnsi="Calibri" w:cs="Times New Roman" w:hint="eastAsia"/>
          <w:szCs w:val="21"/>
        </w:rPr>
        <w:t>，生产供给稍有改善。</w:t>
      </w:r>
      <w:r w:rsidR="0055679D">
        <w:rPr>
          <w:rFonts w:ascii="Calibri" w:eastAsia="宋体" w:hAnsi="Calibri" w:cs="Times New Roman" w:hint="eastAsia"/>
          <w:szCs w:val="21"/>
        </w:rPr>
        <w:t>1</w:t>
      </w:r>
      <w:r w:rsidR="0055679D">
        <w:rPr>
          <w:rFonts w:ascii="Calibri" w:eastAsia="宋体" w:hAnsi="Calibri" w:cs="Times New Roman"/>
          <w:szCs w:val="21"/>
        </w:rPr>
        <w:t>0</w:t>
      </w:r>
      <w:r w:rsidR="00C41B10">
        <w:rPr>
          <w:rFonts w:ascii="Calibri" w:eastAsia="宋体" w:hAnsi="Calibri" w:cs="Times New Roman" w:hint="eastAsia"/>
          <w:szCs w:val="21"/>
        </w:rPr>
        <w:t>月上市新车不多，</w:t>
      </w:r>
      <w:r w:rsidR="0055679D">
        <w:rPr>
          <w:rFonts w:ascii="Calibri" w:eastAsia="宋体" w:hAnsi="Calibri" w:cs="Times New Roman" w:hint="eastAsia"/>
          <w:szCs w:val="21"/>
        </w:rPr>
        <w:t>且本月</w:t>
      </w:r>
      <w:r w:rsidR="00C41B10">
        <w:rPr>
          <w:rFonts w:ascii="Calibri" w:eastAsia="宋体" w:hAnsi="Calibri" w:cs="Times New Roman" w:hint="eastAsia"/>
          <w:szCs w:val="21"/>
        </w:rPr>
        <w:t>工作日减少以及产能</w:t>
      </w:r>
      <w:r w:rsidR="0055679D">
        <w:rPr>
          <w:rFonts w:ascii="Calibri" w:eastAsia="宋体" w:hAnsi="Calibri" w:cs="Times New Roman" w:hint="eastAsia"/>
          <w:szCs w:val="21"/>
        </w:rPr>
        <w:t>受芯片影响</w:t>
      </w:r>
      <w:r w:rsidR="00C41B10">
        <w:rPr>
          <w:rFonts w:ascii="Calibri" w:eastAsia="宋体" w:hAnsi="Calibri" w:cs="Times New Roman" w:hint="eastAsia"/>
          <w:szCs w:val="21"/>
        </w:rPr>
        <w:t>导致提车周期延长。预计供给芯片较上月环比改善</w:t>
      </w:r>
      <w:r w:rsidR="00C41B10">
        <w:rPr>
          <w:rFonts w:ascii="Calibri" w:eastAsia="宋体" w:hAnsi="Calibri" w:cs="Times New Roman"/>
          <w:szCs w:val="21"/>
        </w:rPr>
        <w:t>20-30%</w:t>
      </w:r>
      <w:r w:rsidR="00C41B10">
        <w:rPr>
          <w:rFonts w:ascii="Calibri" w:eastAsia="宋体" w:hAnsi="Calibri" w:cs="Times New Roman" w:hint="eastAsia"/>
          <w:szCs w:val="21"/>
        </w:rPr>
        <w:t>，</w:t>
      </w:r>
      <w:r w:rsidR="0055679D">
        <w:rPr>
          <w:rFonts w:ascii="Calibri" w:eastAsia="宋体" w:hAnsi="Calibri" w:cs="Times New Roman" w:hint="eastAsia"/>
          <w:szCs w:val="21"/>
        </w:rPr>
        <w:t>销量</w:t>
      </w:r>
      <w:r w:rsidR="00C41B10">
        <w:rPr>
          <w:rFonts w:ascii="Calibri" w:eastAsia="宋体" w:hAnsi="Calibri" w:cs="Times New Roman" w:hint="eastAsia"/>
          <w:szCs w:val="21"/>
        </w:rPr>
        <w:t>可</w:t>
      </w:r>
      <w:r w:rsidR="0055679D">
        <w:rPr>
          <w:rFonts w:ascii="Calibri" w:eastAsia="宋体" w:hAnsi="Calibri" w:cs="Times New Roman" w:hint="eastAsia"/>
          <w:szCs w:val="21"/>
        </w:rPr>
        <w:t>实现</w:t>
      </w:r>
      <w:r w:rsidR="00C41B10">
        <w:rPr>
          <w:rFonts w:ascii="Calibri" w:eastAsia="宋体" w:hAnsi="Calibri" w:cs="Times New Roman" w:hint="eastAsia"/>
          <w:szCs w:val="21"/>
        </w:rPr>
        <w:t>环比增长。各地有序用电，将提高汽车产业供应风险。对新能源积分的需求大量存在，</w:t>
      </w:r>
      <w:r w:rsidR="00C41B10">
        <w:rPr>
          <w:rFonts w:ascii="Calibri" w:eastAsia="宋体" w:hAnsi="Calibri" w:cs="Times New Roman"/>
          <w:szCs w:val="21"/>
        </w:rPr>
        <w:t>A00</w:t>
      </w:r>
      <w:r w:rsidR="00C41B10">
        <w:rPr>
          <w:rFonts w:ascii="Calibri" w:eastAsia="宋体" w:hAnsi="Calibri" w:cs="Times New Roman" w:hint="eastAsia"/>
          <w:szCs w:val="21"/>
        </w:rPr>
        <w:t>级纯电动产品热度可持续到</w:t>
      </w:r>
      <w:r w:rsidR="00C41B10">
        <w:rPr>
          <w:rFonts w:ascii="Calibri" w:eastAsia="宋体" w:hAnsi="Calibri" w:cs="Times New Roman"/>
          <w:szCs w:val="21"/>
        </w:rPr>
        <w:t>2021</w:t>
      </w:r>
      <w:r w:rsidR="00C41B10">
        <w:rPr>
          <w:rFonts w:ascii="Calibri" w:eastAsia="宋体" w:hAnsi="Calibri" w:cs="Times New Roman" w:hint="eastAsia"/>
          <w:szCs w:val="21"/>
        </w:rPr>
        <w:t>年底，因此新能源</w:t>
      </w:r>
      <w:r w:rsidR="0055679D">
        <w:rPr>
          <w:rFonts w:ascii="Calibri" w:eastAsia="宋体" w:hAnsi="Calibri" w:cs="Times New Roman" w:hint="eastAsia"/>
          <w:szCs w:val="21"/>
        </w:rPr>
        <w:t>车市</w:t>
      </w:r>
      <w:r w:rsidR="00C41B10">
        <w:rPr>
          <w:rFonts w:ascii="Calibri" w:eastAsia="宋体" w:hAnsi="Calibri" w:cs="Times New Roman" w:hint="eastAsia"/>
          <w:szCs w:val="21"/>
        </w:rPr>
        <w:t>仍是相对较好的。</w:t>
      </w:r>
    </w:p>
    <w:p w14:paraId="2A634FF6" w14:textId="77777777" w:rsidR="0094218D" w:rsidRPr="002009FE" w:rsidRDefault="0094218D" w:rsidP="0094218D">
      <w:pPr>
        <w:ind w:firstLineChars="135" w:firstLine="283"/>
        <w:rPr>
          <w:rFonts w:ascii="Calibri" w:eastAsia="宋体" w:hAnsi="Calibri" w:cs="Times New Roman"/>
          <w:szCs w:val="21"/>
        </w:rPr>
      </w:pPr>
    </w:p>
    <w:p w14:paraId="4AA7789E" w14:textId="35D90204" w:rsidR="002D7102" w:rsidRPr="002009FE" w:rsidRDefault="0055679D" w:rsidP="002D7102">
      <w:pPr>
        <w:numPr>
          <w:ilvl w:val="0"/>
          <w:numId w:val="2"/>
        </w:numPr>
        <w:outlineLvl w:val="1"/>
        <w:rPr>
          <w:rFonts w:ascii="黑体" w:eastAsia="黑体" w:hAnsi="黑体" w:cs="黑体"/>
          <w:bCs/>
          <w:sz w:val="24"/>
        </w:rPr>
      </w:pPr>
      <w:r>
        <w:rPr>
          <w:rFonts w:ascii="黑体" w:eastAsia="黑体" w:hAnsi="黑体" w:cs="黑体" w:hint="eastAsia"/>
          <w:bCs/>
          <w:sz w:val="24"/>
        </w:rPr>
        <w:t>三</w:t>
      </w:r>
      <w:r w:rsidR="002D7102">
        <w:rPr>
          <w:rFonts w:ascii="黑体" w:eastAsia="黑体" w:hAnsi="黑体" w:cs="黑体" w:hint="eastAsia"/>
          <w:bCs/>
          <w:sz w:val="24"/>
        </w:rPr>
        <w:t>季度汽车行业利润下降</w:t>
      </w:r>
      <w:r w:rsidR="002D7102">
        <w:rPr>
          <w:rFonts w:ascii="黑体" w:eastAsia="黑体" w:hAnsi="黑体" w:cs="黑体"/>
          <w:bCs/>
          <w:sz w:val="24"/>
        </w:rPr>
        <w:t>48</w:t>
      </w:r>
      <w:r w:rsidR="002D7102">
        <w:rPr>
          <w:rFonts w:ascii="黑体" w:eastAsia="黑体" w:hAnsi="黑体" w:cs="黑体" w:hint="eastAsia"/>
          <w:bCs/>
          <w:sz w:val="24"/>
        </w:rPr>
        <w:t>%</w:t>
      </w:r>
      <w:r>
        <w:rPr>
          <w:rFonts w:ascii="黑体" w:eastAsia="黑体" w:hAnsi="黑体" w:cs="黑体" w:hint="eastAsia"/>
          <w:bCs/>
          <w:sz w:val="24"/>
        </w:rPr>
        <w:t xml:space="preserve"> </w:t>
      </w:r>
      <w:r w:rsidR="002D7102">
        <w:rPr>
          <w:rFonts w:ascii="黑体" w:eastAsia="黑体" w:hAnsi="黑体" w:cs="黑体" w:hint="eastAsia"/>
          <w:bCs/>
          <w:sz w:val="24"/>
        </w:rPr>
        <w:t>效益亟待改善</w:t>
      </w:r>
    </w:p>
    <w:p w14:paraId="15CB33B2" w14:textId="77777777" w:rsidR="002D7102" w:rsidRDefault="002D7102" w:rsidP="002D7102">
      <w:pPr>
        <w:ind w:firstLineChars="202" w:firstLine="424"/>
        <w:rPr>
          <w:rFonts w:ascii="Calibri" w:eastAsia="宋体" w:hAnsi="Calibri" w:cs="Times New Roman"/>
          <w:szCs w:val="21"/>
        </w:rPr>
      </w:pPr>
    </w:p>
    <w:p w14:paraId="2F8AF587" w14:textId="77777777" w:rsidR="002D7102" w:rsidRDefault="002D7102" w:rsidP="0055679D">
      <w:pPr>
        <w:ind w:firstLineChars="202" w:firstLine="424"/>
        <w:jc w:val="center"/>
        <w:rPr>
          <w:rFonts w:ascii="Calibri" w:eastAsia="宋体" w:hAnsi="Calibri" w:cs="Times New Roman"/>
          <w:szCs w:val="21"/>
        </w:rPr>
      </w:pPr>
      <w:r>
        <w:rPr>
          <w:rFonts w:ascii="Calibri" w:eastAsia="宋体" w:hAnsi="Calibri" w:cs="Times New Roman"/>
          <w:noProof/>
          <w:szCs w:val="21"/>
        </w:rPr>
        <w:drawing>
          <wp:inline distT="0" distB="0" distL="0" distR="0" wp14:anchorId="6F95CBA1" wp14:editId="283794ED">
            <wp:extent cx="4320000" cy="3220167"/>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220167"/>
                    </a:xfrm>
                    <a:prstGeom prst="rect">
                      <a:avLst/>
                    </a:prstGeom>
                    <a:noFill/>
                  </pic:spPr>
                </pic:pic>
              </a:graphicData>
            </a:graphic>
          </wp:inline>
        </w:drawing>
      </w:r>
    </w:p>
    <w:p w14:paraId="00FA08EC" w14:textId="0C055BC7" w:rsidR="002D7102" w:rsidRDefault="002D7102" w:rsidP="0055679D">
      <w:pPr>
        <w:ind w:firstLineChars="200" w:firstLine="420"/>
        <w:rPr>
          <w:rFonts w:ascii="Calibri" w:eastAsia="宋体" w:hAnsi="Calibri" w:cs="Times New Roman"/>
          <w:szCs w:val="21"/>
        </w:rPr>
      </w:pPr>
      <w:r w:rsidRPr="00035632">
        <w:rPr>
          <w:rFonts w:ascii="Calibri" w:eastAsia="宋体" w:hAnsi="Calibri" w:cs="Times New Roman" w:hint="eastAsia"/>
          <w:szCs w:val="21"/>
        </w:rPr>
        <w:t>根据国家统计局的汽车行业效益统计，今年</w:t>
      </w:r>
      <w:r w:rsidR="0055679D">
        <w:rPr>
          <w:rFonts w:ascii="Calibri" w:eastAsia="宋体" w:hAnsi="Calibri" w:cs="Times New Roman" w:hint="eastAsia"/>
          <w:szCs w:val="21"/>
        </w:rPr>
        <w:t>三</w:t>
      </w:r>
      <w:r w:rsidRPr="00035632">
        <w:rPr>
          <w:rFonts w:ascii="Calibri" w:eastAsia="宋体" w:hAnsi="Calibri" w:cs="Times New Roman" w:hint="eastAsia"/>
          <w:szCs w:val="21"/>
        </w:rPr>
        <w:t>季度汽车行业营业收入</w:t>
      </w:r>
      <w:r w:rsidRPr="00035632">
        <w:rPr>
          <w:rFonts w:ascii="Calibri" w:eastAsia="宋体" w:hAnsi="Calibri" w:cs="Times New Roman"/>
          <w:szCs w:val="21"/>
        </w:rPr>
        <w:t>18788</w:t>
      </w:r>
      <w:r w:rsidRPr="00035632">
        <w:rPr>
          <w:rFonts w:ascii="Calibri" w:eastAsia="宋体" w:hAnsi="Calibri" w:cs="Times New Roman" w:hint="eastAsia"/>
          <w:szCs w:val="21"/>
        </w:rPr>
        <w:t>亿元，同比下降</w:t>
      </w:r>
      <w:r w:rsidRPr="00035632">
        <w:rPr>
          <w:rFonts w:ascii="Calibri" w:eastAsia="宋体" w:hAnsi="Calibri" w:cs="Times New Roman" w:hint="eastAsia"/>
          <w:szCs w:val="21"/>
        </w:rPr>
        <w:t>1</w:t>
      </w:r>
      <w:r w:rsidRPr="00035632">
        <w:rPr>
          <w:rFonts w:ascii="Calibri" w:eastAsia="宋体" w:hAnsi="Calibri" w:cs="Times New Roman"/>
          <w:szCs w:val="21"/>
        </w:rPr>
        <w:t>4</w:t>
      </w:r>
      <w:r w:rsidRPr="00035632">
        <w:rPr>
          <w:rFonts w:ascii="Calibri" w:eastAsia="宋体" w:hAnsi="Calibri" w:cs="Times New Roman" w:hint="eastAsia"/>
          <w:szCs w:val="21"/>
        </w:rPr>
        <w:t>%</w:t>
      </w:r>
      <w:r>
        <w:rPr>
          <w:rFonts w:ascii="Calibri" w:eastAsia="宋体" w:hAnsi="Calibri" w:cs="Times New Roman" w:hint="eastAsia"/>
          <w:szCs w:val="21"/>
        </w:rPr>
        <w:t>；</w:t>
      </w:r>
      <w:r w:rsidR="0055679D">
        <w:rPr>
          <w:rFonts w:ascii="Calibri" w:eastAsia="宋体" w:hAnsi="Calibri" w:cs="Times New Roman" w:hint="eastAsia"/>
          <w:szCs w:val="21"/>
        </w:rPr>
        <w:t>三</w:t>
      </w:r>
      <w:r>
        <w:rPr>
          <w:rFonts w:ascii="Calibri" w:eastAsia="宋体" w:hAnsi="Calibri" w:cs="Times New Roman" w:hint="eastAsia"/>
          <w:szCs w:val="21"/>
        </w:rPr>
        <w:t>季度</w:t>
      </w:r>
      <w:r w:rsidRPr="00035632">
        <w:rPr>
          <w:rFonts w:ascii="Calibri" w:eastAsia="宋体" w:hAnsi="Calibri" w:cs="Times New Roman" w:hint="eastAsia"/>
          <w:szCs w:val="21"/>
        </w:rPr>
        <w:t>利润</w:t>
      </w:r>
      <w:r w:rsidRPr="00035632">
        <w:rPr>
          <w:rFonts w:ascii="Calibri" w:eastAsia="宋体" w:hAnsi="Calibri" w:cs="Times New Roman"/>
          <w:szCs w:val="21"/>
        </w:rPr>
        <w:t>923</w:t>
      </w:r>
      <w:r w:rsidRPr="00035632">
        <w:rPr>
          <w:rFonts w:ascii="Calibri" w:eastAsia="宋体" w:hAnsi="Calibri" w:cs="Times New Roman" w:hint="eastAsia"/>
          <w:szCs w:val="21"/>
        </w:rPr>
        <w:t>亿元，同比下降</w:t>
      </w:r>
      <w:r w:rsidRPr="00035632">
        <w:rPr>
          <w:rFonts w:ascii="Calibri" w:eastAsia="宋体" w:hAnsi="Calibri" w:cs="Times New Roman" w:hint="eastAsia"/>
          <w:szCs w:val="21"/>
        </w:rPr>
        <w:t>4</w:t>
      </w:r>
      <w:r w:rsidRPr="00035632">
        <w:rPr>
          <w:rFonts w:ascii="Calibri" w:eastAsia="宋体" w:hAnsi="Calibri" w:cs="Times New Roman"/>
          <w:szCs w:val="21"/>
        </w:rPr>
        <w:t>8</w:t>
      </w:r>
      <w:r w:rsidRPr="00035632">
        <w:rPr>
          <w:rFonts w:ascii="Calibri" w:eastAsia="宋体" w:hAnsi="Calibri" w:cs="Times New Roman" w:hint="eastAsia"/>
          <w:szCs w:val="21"/>
        </w:rPr>
        <w:t>%</w:t>
      </w:r>
      <w:r>
        <w:rPr>
          <w:rFonts w:ascii="Calibri" w:eastAsia="宋体" w:hAnsi="Calibri" w:cs="Times New Roman" w:hint="eastAsia"/>
          <w:szCs w:val="21"/>
        </w:rPr>
        <w:t>较</w:t>
      </w:r>
      <w:r w:rsidR="0055679D">
        <w:rPr>
          <w:rFonts w:ascii="Calibri" w:eastAsia="宋体" w:hAnsi="Calibri" w:cs="Times New Roman" w:hint="eastAsia"/>
          <w:szCs w:val="21"/>
        </w:rPr>
        <w:t>二</w:t>
      </w:r>
      <w:r>
        <w:rPr>
          <w:rFonts w:ascii="Calibri" w:eastAsia="宋体" w:hAnsi="Calibri" w:cs="Times New Roman" w:hint="eastAsia"/>
          <w:szCs w:val="21"/>
        </w:rPr>
        <w:t>季度的同比下降</w:t>
      </w:r>
      <w:r>
        <w:rPr>
          <w:rFonts w:ascii="Calibri" w:eastAsia="宋体" w:hAnsi="Calibri" w:cs="Times New Roman" w:hint="eastAsia"/>
          <w:szCs w:val="21"/>
        </w:rPr>
        <w:t>1</w:t>
      </w:r>
      <w:r>
        <w:rPr>
          <w:rFonts w:ascii="Calibri" w:eastAsia="宋体" w:hAnsi="Calibri" w:cs="Times New Roman"/>
          <w:szCs w:val="21"/>
        </w:rPr>
        <w:t>5</w:t>
      </w:r>
      <w:r>
        <w:rPr>
          <w:rFonts w:ascii="Calibri" w:eastAsia="宋体" w:hAnsi="Calibri" w:cs="Times New Roman" w:hint="eastAsia"/>
          <w:szCs w:val="21"/>
        </w:rPr>
        <w:t>%</w:t>
      </w:r>
      <w:r w:rsidR="0055679D">
        <w:rPr>
          <w:rFonts w:ascii="Calibri" w:eastAsia="宋体" w:hAnsi="Calibri" w:cs="Times New Roman" w:hint="eastAsia"/>
          <w:szCs w:val="21"/>
        </w:rPr>
        <w:t>，</w:t>
      </w:r>
      <w:r>
        <w:rPr>
          <w:rFonts w:ascii="Calibri" w:eastAsia="宋体" w:hAnsi="Calibri" w:cs="Times New Roman" w:hint="eastAsia"/>
          <w:szCs w:val="21"/>
        </w:rPr>
        <w:t>降幅快速加大。</w:t>
      </w:r>
      <w:r w:rsidR="0055679D">
        <w:rPr>
          <w:rFonts w:ascii="Calibri" w:eastAsia="宋体" w:hAnsi="Calibri" w:cs="Times New Roman" w:hint="eastAsia"/>
          <w:szCs w:val="21"/>
        </w:rPr>
        <w:t>三</w:t>
      </w:r>
      <w:r>
        <w:rPr>
          <w:rFonts w:ascii="Calibri" w:eastAsia="宋体" w:hAnsi="Calibri" w:cs="Times New Roman" w:hint="eastAsia"/>
          <w:szCs w:val="21"/>
        </w:rPr>
        <w:t>季度营业收入利润率为</w:t>
      </w:r>
      <w:r>
        <w:rPr>
          <w:rFonts w:ascii="Calibri" w:eastAsia="宋体" w:hAnsi="Calibri" w:cs="Times New Roman" w:hint="eastAsia"/>
          <w:szCs w:val="21"/>
        </w:rPr>
        <w:t>4</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，处于历史谷底水平，相对于去年</w:t>
      </w:r>
      <w:r w:rsidR="0055679D">
        <w:rPr>
          <w:rFonts w:ascii="Calibri" w:eastAsia="宋体" w:hAnsi="Calibri" w:cs="Times New Roman" w:hint="eastAsia"/>
          <w:szCs w:val="21"/>
        </w:rPr>
        <w:t>三</w:t>
      </w:r>
      <w:r>
        <w:rPr>
          <w:rFonts w:ascii="Calibri" w:eastAsia="宋体" w:hAnsi="Calibri" w:cs="Times New Roman" w:hint="eastAsia"/>
          <w:szCs w:val="21"/>
        </w:rPr>
        <w:t>季度的</w:t>
      </w:r>
      <w:r>
        <w:rPr>
          <w:rFonts w:ascii="Calibri" w:eastAsia="宋体" w:hAnsi="Calibri" w:cs="Times New Roman" w:hint="eastAsia"/>
          <w:szCs w:val="21"/>
        </w:rPr>
        <w:t>8</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下降巨大</w:t>
      </w:r>
      <w:r w:rsidRPr="00035632">
        <w:rPr>
          <w:rFonts w:ascii="Calibri" w:eastAsia="宋体" w:hAnsi="Calibri" w:cs="Times New Roman" w:hint="eastAsia"/>
          <w:szCs w:val="21"/>
        </w:rPr>
        <w:t>。</w:t>
      </w:r>
    </w:p>
    <w:p w14:paraId="13350726" w14:textId="77777777" w:rsidR="002D7102" w:rsidRDefault="002D7102" w:rsidP="0055679D">
      <w:pPr>
        <w:ind w:firstLineChars="202" w:firstLine="424"/>
        <w:jc w:val="center"/>
        <w:rPr>
          <w:rFonts w:ascii="Calibri" w:eastAsia="宋体" w:hAnsi="Calibri" w:cs="Times New Roman"/>
          <w:szCs w:val="21"/>
        </w:rPr>
      </w:pPr>
      <w:r>
        <w:rPr>
          <w:rFonts w:ascii="Calibri" w:eastAsia="宋体" w:hAnsi="Calibri" w:cs="Times New Roman"/>
          <w:noProof/>
          <w:szCs w:val="21"/>
        </w:rPr>
        <w:drawing>
          <wp:inline distT="0" distB="0" distL="0" distR="0" wp14:anchorId="1F16A6B5" wp14:editId="6363BE63">
            <wp:extent cx="4320000" cy="2596787"/>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596787"/>
                    </a:xfrm>
                    <a:prstGeom prst="rect">
                      <a:avLst/>
                    </a:prstGeom>
                    <a:noFill/>
                  </pic:spPr>
                </pic:pic>
              </a:graphicData>
            </a:graphic>
          </wp:inline>
        </w:drawing>
      </w:r>
    </w:p>
    <w:p w14:paraId="7460063C" w14:textId="1B767CB6" w:rsidR="002D7102" w:rsidRDefault="002D7102" w:rsidP="0055679D">
      <w:pPr>
        <w:ind w:firstLineChars="200" w:firstLine="420"/>
        <w:rPr>
          <w:rFonts w:asciiTheme="minorEastAsia" w:hAnsiTheme="minorEastAsia" w:cs="黑体"/>
          <w:bCs/>
          <w:szCs w:val="21"/>
        </w:rPr>
      </w:pPr>
      <w:r>
        <w:rPr>
          <w:rFonts w:ascii="Calibri" w:eastAsia="宋体" w:hAnsi="Calibri" w:cs="Times New Roman" w:hint="eastAsia"/>
          <w:szCs w:val="21"/>
        </w:rPr>
        <w:t>汽车行业</w:t>
      </w:r>
      <w:r w:rsidR="0055679D">
        <w:rPr>
          <w:rFonts w:ascii="Calibri" w:eastAsia="宋体" w:hAnsi="Calibri" w:cs="Times New Roman" w:hint="eastAsia"/>
          <w:szCs w:val="21"/>
        </w:rPr>
        <w:t>三</w:t>
      </w:r>
      <w:r>
        <w:rPr>
          <w:rFonts w:ascii="Calibri" w:eastAsia="宋体" w:hAnsi="Calibri" w:cs="Times New Roman" w:hint="eastAsia"/>
          <w:szCs w:val="21"/>
        </w:rPr>
        <w:t>季度利润腰斩的主要原因是销量的同比下降较大，芯片供给不足导致</w:t>
      </w:r>
      <w:r w:rsidRPr="00035632">
        <w:rPr>
          <w:rFonts w:ascii="Calibri" w:eastAsia="宋体" w:hAnsi="Calibri" w:cs="Times New Roman" w:hint="eastAsia"/>
          <w:szCs w:val="21"/>
        </w:rPr>
        <w:t>供应链产业链不够畅通</w:t>
      </w:r>
      <w:r>
        <w:rPr>
          <w:rFonts w:ascii="Calibri" w:eastAsia="宋体" w:hAnsi="Calibri" w:cs="Times New Roman" w:hint="eastAsia"/>
          <w:szCs w:val="21"/>
        </w:rPr>
        <w:t>，</w:t>
      </w:r>
      <w:r w:rsidR="007D1A36">
        <w:rPr>
          <w:rFonts w:ascii="Calibri" w:eastAsia="宋体" w:hAnsi="Calibri" w:cs="Times New Roman" w:hint="eastAsia"/>
          <w:szCs w:val="21"/>
        </w:rPr>
        <w:t>三</w:t>
      </w:r>
      <w:r>
        <w:rPr>
          <w:rFonts w:ascii="Calibri" w:eastAsia="宋体" w:hAnsi="Calibri" w:cs="Times New Roman" w:hint="eastAsia"/>
          <w:szCs w:val="21"/>
        </w:rPr>
        <w:t>季度产能利用率大幅下降到</w:t>
      </w:r>
      <w:r>
        <w:rPr>
          <w:rFonts w:ascii="Calibri" w:eastAsia="宋体" w:hAnsi="Calibri" w:cs="Times New Roman" w:hint="eastAsia"/>
          <w:szCs w:val="21"/>
        </w:rPr>
        <w:t>7</w:t>
      </w:r>
      <w:r>
        <w:rPr>
          <w:rFonts w:ascii="Calibri" w:eastAsia="宋体" w:hAnsi="Calibri" w:cs="Times New Roman"/>
          <w:szCs w:val="21"/>
        </w:rPr>
        <w:t>0.5</w:t>
      </w:r>
      <w:r>
        <w:rPr>
          <w:rFonts w:ascii="Calibri" w:eastAsia="宋体" w:hAnsi="Calibri" w:cs="Times New Roman" w:hint="eastAsia"/>
          <w:szCs w:val="21"/>
        </w:rPr>
        <w:t>%</w:t>
      </w:r>
      <w:r>
        <w:rPr>
          <w:rFonts w:ascii="Calibri" w:eastAsia="宋体" w:hAnsi="Calibri" w:cs="Times New Roman" w:hint="eastAsia"/>
          <w:szCs w:val="21"/>
        </w:rPr>
        <w:t>。而且由于</w:t>
      </w:r>
      <w:r w:rsidRPr="005C11C7">
        <w:rPr>
          <w:rFonts w:ascii="Calibri" w:eastAsia="宋体" w:hAnsi="Calibri" w:cs="Times New Roman" w:hint="eastAsia"/>
          <w:szCs w:val="21"/>
        </w:rPr>
        <w:t>上下游行业间盈利不平衡问题较为突出</w:t>
      </w:r>
      <w:r>
        <w:rPr>
          <w:rFonts w:ascii="Calibri" w:eastAsia="宋体" w:hAnsi="Calibri" w:cs="Times New Roman" w:hint="eastAsia"/>
          <w:szCs w:val="21"/>
        </w:rPr>
        <w:t>，</w:t>
      </w:r>
      <w:r w:rsidRPr="00035632">
        <w:rPr>
          <w:rFonts w:ascii="Calibri" w:eastAsia="宋体" w:hAnsi="Calibri" w:cs="Times New Roman" w:hint="eastAsia"/>
          <w:szCs w:val="21"/>
        </w:rPr>
        <w:t>大宗商品价格高位运行</w:t>
      </w:r>
      <w:r>
        <w:rPr>
          <w:rFonts w:ascii="Calibri" w:eastAsia="宋体" w:hAnsi="Calibri" w:cs="Times New Roman" w:hint="eastAsia"/>
          <w:szCs w:val="21"/>
        </w:rPr>
        <w:t>，导致车企</w:t>
      </w:r>
      <w:r w:rsidR="007D1A36">
        <w:rPr>
          <w:rFonts w:ascii="Calibri" w:eastAsia="宋体" w:hAnsi="Calibri" w:cs="Times New Roman" w:hint="eastAsia"/>
          <w:szCs w:val="21"/>
        </w:rPr>
        <w:t>三</w:t>
      </w:r>
      <w:r>
        <w:rPr>
          <w:rFonts w:ascii="Calibri" w:eastAsia="宋体" w:hAnsi="Calibri" w:cs="Times New Roman" w:hint="eastAsia"/>
          <w:szCs w:val="21"/>
        </w:rPr>
        <w:t>季度的利润同比腰斩。汽车行业</w:t>
      </w:r>
      <w:r w:rsidR="007D1A36">
        <w:rPr>
          <w:rFonts w:ascii="Calibri" w:eastAsia="宋体" w:hAnsi="Calibri" w:cs="Times New Roman" w:hint="eastAsia"/>
          <w:szCs w:val="21"/>
        </w:rPr>
        <w:t>4</w:t>
      </w:r>
      <w:r w:rsidR="007D1A36">
        <w:rPr>
          <w:rFonts w:ascii="Calibri" w:eastAsia="宋体" w:hAnsi="Calibri" w:cs="Times New Roman"/>
          <w:szCs w:val="21"/>
        </w:rPr>
        <w:t>.9</w:t>
      </w:r>
      <w:r w:rsidR="007D1A36">
        <w:rPr>
          <w:rFonts w:ascii="Calibri" w:eastAsia="宋体" w:hAnsi="Calibri" w:cs="Times New Roman" w:hint="eastAsia"/>
          <w:szCs w:val="21"/>
        </w:rPr>
        <w:t>%</w:t>
      </w:r>
      <w:r>
        <w:rPr>
          <w:rFonts w:ascii="Calibri" w:eastAsia="宋体" w:hAnsi="Calibri" w:cs="Times New Roman" w:hint="eastAsia"/>
          <w:szCs w:val="21"/>
        </w:rPr>
        <w:t>利润率已经低于下游企业平均利润率</w:t>
      </w:r>
      <w:r>
        <w:rPr>
          <w:rFonts w:ascii="Calibri" w:eastAsia="宋体" w:hAnsi="Calibri" w:cs="Times New Roman" w:hint="eastAsia"/>
          <w:szCs w:val="21"/>
        </w:rPr>
        <w:t>7</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，成为</w:t>
      </w:r>
      <w:r w:rsidR="007D1A36">
        <w:rPr>
          <w:rFonts w:ascii="Calibri" w:eastAsia="宋体" w:hAnsi="Calibri" w:cs="Times New Roman" w:hint="eastAsia"/>
          <w:szCs w:val="21"/>
        </w:rPr>
        <w:t>拉动</w:t>
      </w:r>
      <w:r>
        <w:rPr>
          <w:rFonts w:ascii="Calibri" w:eastAsia="宋体" w:hAnsi="Calibri" w:cs="Times New Roman" w:hint="eastAsia"/>
          <w:szCs w:val="21"/>
        </w:rPr>
        <w:t>促销费急需破解的难题。</w:t>
      </w:r>
    </w:p>
    <w:p w14:paraId="22DC1170" w14:textId="77777777" w:rsidR="002D7102" w:rsidRPr="007D1A36" w:rsidRDefault="002D7102" w:rsidP="002D7102">
      <w:pPr>
        <w:rPr>
          <w:rFonts w:asciiTheme="minorEastAsia" w:hAnsiTheme="minorEastAsia" w:cs="黑体"/>
          <w:bCs/>
          <w:szCs w:val="21"/>
        </w:rPr>
      </w:pPr>
    </w:p>
    <w:p w14:paraId="3EFF6B8E" w14:textId="4209BEF1" w:rsidR="0094218D" w:rsidRPr="002009FE" w:rsidRDefault="00267E7C" w:rsidP="0094218D">
      <w:pPr>
        <w:numPr>
          <w:ilvl w:val="0"/>
          <w:numId w:val="2"/>
        </w:numPr>
        <w:outlineLvl w:val="1"/>
        <w:rPr>
          <w:rFonts w:ascii="黑体" w:eastAsia="黑体" w:hAnsi="黑体" w:cs="Times New Roman"/>
          <w:b/>
          <w:bCs/>
          <w:sz w:val="24"/>
        </w:rPr>
      </w:pPr>
      <w:r w:rsidRPr="00267E7C">
        <w:rPr>
          <w:rFonts w:ascii="黑体" w:eastAsia="黑体" w:hAnsi="黑体" w:cs="Times New Roman" w:hint="eastAsia"/>
          <w:b/>
          <w:bCs/>
          <w:sz w:val="24"/>
        </w:rPr>
        <w:t>新能源车保值率低是很正常的</w:t>
      </w:r>
    </w:p>
    <w:p w14:paraId="06110A3A" w14:textId="42A85CAF" w:rsidR="00267E7C" w:rsidRPr="00267E7C" w:rsidRDefault="00267E7C" w:rsidP="00523968">
      <w:pPr>
        <w:ind w:firstLineChars="200" w:firstLine="420"/>
        <w:rPr>
          <w:rFonts w:ascii="Calibri" w:eastAsia="宋体" w:hAnsi="Calibri" w:cs="Times New Roman"/>
          <w:szCs w:val="21"/>
        </w:rPr>
      </w:pPr>
      <w:r w:rsidRPr="00267E7C">
        <w:rPr>
          <w:rFonts w:ascii="Calibri" w:eastAsia="宋体" w:hAnsi="Calibri" w:cs="Times New Roman" w:hint="eastAsia"/>
          <w:szCs w:val="21"/>
        </w:rPr>
        <w:t>新能源车企不应该把保值率作为重要的指标，因为</w:t>
      </w:r>
      <w:r>
        <w:rPr>
          <w:rFonts w:ascii="Calibri" w:eastAsia="宋体" w:hAnsi="Calibri" w:cs="Times New Roman" w:hint="eastAsia"/>
          <w:szCs w:val="21"/>
        </w:rPr>
        <w:t>在</w:t>
      </w:r>
      <w:r w:rsidR="00523968">
        <w:rPr>
          <w:rFonts w:ascii="Calibri" w:eastAsia="宋体" w:hAnsi="Calibri" w:cs="Times New Roman" w:hint="eastAsia"/>
          <w:szCs w:val="21"/>
        </w:rPr>
        <w:t>技术</w:t>
      </w:r>
      <w:r>
        <w:rPr>
          <w:rFonts w:ascii="Calibri" w:eastAsia="宋体" w:hAnsi="Calibri" w:cs="Times New Roman" w:hint="eastAsia"/>
          <w:szCs w:val="21"/>
        </w:rPr>
        <w:t>快速提升</w:t>
      </w:r>
      <w:r w:rsidR="00523968">
        <w:rPr>
          <w:rFonts w:ascii="Calibri" w:eastAsia="宋体" w:hAnsi="Calibri" w:cs="Times New Roman" w:hint="eastAsia"/>
          <w:szCs w:val="21"/>
        </w:rPr>
        <w:t>的节点，</w:t>
      </w:r>
      <w:r w:rsidRPr="00267E7C">
        <w:rPr>
          <w:rFonts w:ascii="Calibri" w:eastAsia="宋体" w:hAnsi="Calibri" w:cs="Times New Roman" w:hint="eastAsia"/>
          <w:szCs w:val="21"/>
        </w:rPr>
        <w:t>新能源的保值率实际上是很难达到一个</w:t>
      </w:r>
      <w:r w:rsidR="00523968">
        <w:rPr>
          <w:rFonts w:ascii="Calibri" w:eastAsia="宋体" w:hAnsi="Calibri" w:cs="Times New Roman" w:hint="eastAsia"/>
          <w:szCs w:val="21"/>
        </w:rPr>
        <w:t>较高</w:t>
      </w:r>
      <w:r w:rsidRPr="00267E7C">
        <w:rPr>
          <w:rFonts w:ascii="Calibri" w:eastAsia="宋体" w:hAnsi="Calibri" w:cs="Times New Roman" w:hint="eastAsia"/>
          <w:szCs w:val="21"/>
        </w:rPr>
        <w:t>的水平。</w:t>
      </w:r>
    </w:p>
    <w:p w14:paraId="65468384" w14:textId="361C218C" w:rsidR="0094218D" w:rsidRDefault="00267E7C" w:rsidP="00523968">
      <w:pPr>
        <w:ind w:firstLineChars="200" w:firstLine="420"/>
        <w:rPr>
          <w:rFonts w:ascii="Calibri" w:eastAsia="宋体" w:hAnsi="Calibri" w:cs="Times New Roman"/>
          <w:szCs w:val="21"/>
        </w:rPr>
      </w:pPr>
      <w:r w:rsidRPr="00267E7C">
        <w:rPr>
          <w:rFonts w:ascii="Calibri" w:eastAsia="宋体" w:hAnsi="Calibri" w:cs="Times New Roman" w:hint="eastAsia"/>
          <w:szCs w:val="21"/>
        </w:rPr>
        <w:t>近期保值率</w:t>
      </w:r>
      <w:r w:rsidR="00523968">
        <w:rPr>
          <w:rFonts w:ascii="Calibri" w:eastAsia="宋体" w:hAnsi="Calibri" w:cs="Times New Roman" w:hint="eastAsia"/>
          <w:szCs w:val="21"/>
        </w:rPr>
        <w:t>数据</w:t>
      </w:r>
      <w:r w:rsidRPr="00267E7C">
        <w:rPr>
          <w:rFonts w:ascii="Calibri" w:eastAsia="宋体" w:hAnsi="Calibri" w:cs="Times New Roman" w:hint="eastAsia"/>
          <w:szCs w:val="21"/>
        </w:rPr>
        <w:t>分析</w:t>
      </w:r>
      <w:r>
        <w:rPr>
          <w:rFonts w:ascii="Calibri" w:eastAsia="宋体" w:hAnsi="Calibri" w:cs="Times New Roman" w:hint="eastAsia"/>
          <w:szCs w:val="21"/>
        </w:rPr>
        <w:t>中</w:t>
      </w:r>
      <w:r w:rsidRPr="00267E7C">
        <w:rPr>
          <w:rFonts w:ascii="Calibri" w:eastAsia="宋体" w:hAnsi="Calibri" w:cs="Times New Roman" w:hint="eastAsia"/>
          <w:szCs w:val="21"/>
        </w:rPr>
        <w:t>，传统车用三年的指标去评价，而新能源车用一年的指标去评价，这很合理。这样就体现出新能源车的保值率是</w:t>
      </w:r>
      <w:r>
        <w:rPr>
          <w:rFonts w:ascii="Calibri" w:eastAsia="宋体" w:hAnsi="Calibri" w:cs="Times New Roman" w:hint="eastAsia"/>
          <w:szCs w:val="21"/>
        </w:rPr>
        <w:t>偏低</w:t>
      </w:r>
      <w:r w:rsidRPr="00267E7C">
        <w:rPr>
          <w:rFonts w:ascii="Calibri" w:eastAsia="宋体" w:hAnsi="Calibri" w:cs="Times New Roman" w:hint="eastAsia"/>
          <w:szCs w:val="21"/>
        </w:rPr>
        <w:t>于传统燃油车的。在目前这种特殊的环境下，我们认为新能源车企应该以发展技术跟降低成本</w:t>
      </w:r>
      <w:r w:rsidR="00523968">
        <w:rPr>
          <w:rFonts w:ascii="Calibri" w:eastAsia="宋体" w:hAnsi="Calibri" w:cs="Times New Roman" w:hint="eastAsia"/>
          <w:szCs w:val="21"/>
        </w:rPr>
        <w:t>及价格</w:t>
      </w:r>
      <w:r w:rsidRPr="00267E7C">
        <w:rPr>
          <w:rFonts w:ascii="Calibri" w:eastAsia="宋体" w:hAnsi="Calibri" w:cs="Times New Roman" w:hint="eastAsia"/>
          <w:szCs w:val="21"/>
        </w:rPr>
        <w:t>为核心，不要把保值率作为一个关键指标去看待。</w:t>
      </w:r>
    </w:p>
    <w:p w14:paraId="4A1DE0A2" w14:textId="77777777" w:rsidR="00361E4B" w:rsidRPr="002009FE" w:rsidRDefault="00361E4B" w:rsidP="00267E7C">
      <w:pPr>
        <w:ind w:firstLineChars="270" w:firstLine="567"/>
        <w:rPr>
          <w:rFonts w:ascii="Calibri" w:eastAsia="宋体" w:hAnsi="Calibri" w:cs="Times New Roman"/>
          <w:szCs w:val="21"/>
        </w:rPr>
      </w:pPr>
    </w:p>
    <w:p w14:paraId="5D305A49" w14:textId="6F4915FC" w:rsidR="0094218D" w:rsidRPr="002009FE" w:rsidRDefault="00361E4B" w:rsidP="0094218D">
      <w:pPr>
        <w:numPr>
          <w:ilvl w:val="0"/>
          <w:numId w:val="2"/>
        </w:numPr>
        <w:outlineLvl w:val="1"/>
        <w:rPr>
          <w:rFonts w:ascii="黑体" w:eastAsia="黑体" w:hAnsi="黑体" w:cs="Times New Roman"/>
          <w:bCs/>
          <w:sz w:val="24"/>
        </w:rPr>
      </w:pPr>
      <w:r w:rsidRPr="00361E4B">
        <w:rPr>
          <w:rFonts w:ascii="黑体" w:eastAsia="黑体" w:hAnsi="黑体" w:cs="Times New Roman" w:hint="eastAsia"/>
          <w:bCs/>
          <w:sz w:val="24"/>
        </w:rPr>
        <w:t>完整准确全面</w:t>
      </w:r>
      <w:r>
        <w:rPr>
          <w:rFonts w:ascii="黑体" w:eastAsia="黑体" w:hAnsi="黑体" w:cs="Times New Roman" w:hint="eastAsia"/>
          <w:bCs/>
          <w:sz w:val="24"/>
        </w:rPr>
        <w:t>理解</w:t>
      </w:r>
      <w:r w:rsidRPr="00361E4B">
        <w:rPr>
          <w:rFonts w:ascii="黑体" w:eastAsia="黑体" w:hAnsi="黑体" w:cs="Times New Roman" w:hint="eastAsia"/>
          <w:bCs/>
          <w:sz w:val="24"/>
        </w:rPr>
        <w:t>新能源车</w:t>
      </w:r>
      <w:r w:rsidRPr="00361E4B">
        <w:rPr>
          <w:rFonts w:ascii="黑体" w:eastAsia="黑体" w:hAnsi="黑体" w:cs="Times New Roman"/>
          <w:bCs/>
          <w:sz w:val="24"/>
        </w:rPr>
        <w:t>2030年40%渗透率目标</w:t>
      </w:r>
    </w:p>
    <w:p w14:paraId="57DF062F" w14:textId="77777777" w:rsidR="000C3731" w:rsidRDefault="00361E4B" w:rsidP="000C3731">
      <w:pPr>
        <w:ind w:firstLineChars="200" w:firstLine="420"/>
        <w:rPr>
          <w:rFonts w:ascii="Calibri" w:eastAsia="宋体" w:hAnsi="Calibri" w:cs="Times New Roman"/>
          <w:szCs w:val="21"/>
        </w:rPr>
      </w:pPr>
      <w:r w:rsidRPr="00361E4B">
        <w:rPr>
          <w:rFonts w:ascii="Calibri" w:eastAsia="宋体" w:hAnsi="Calibri" w:cs="Times New Roman"/>
          <w:szCs w:val="21"/>
        </w:rPr>
        <w:t>10</w:t>
      </w:r>
      <w:r w:rsidRPr="00361E4B">
        <w:rPr>
          <w:rFonts w:ascii="Calibri" w:eastAsia="宋体" w:hAnsi="Calibri" w:cs="Times New Roman"/>
          <w:szCs w:val="21"/>
        </w:rPr>
        <w:t>月</w:t>
      </w:r>
      <w:r w:rsidRPr="00361E4B">
        <w:rPr>
          <w:rFonts w:ascii="Calibri" w:eastAsia="宋体" w:hAnsi="Calibri" w:cs="Times New Roman"/>
          <w:szCs w:val="21"/>
        </w:rPr>
        <w:t>24</w:t>
      </w:r>
      <w:r w:rsidRPr="00361E4B">
        <w:rPr>
          <w:rFonts w:ascii="Calibri" w:eastAsia="宋体" w:hAnsi="Calibri" w:cs="Times New Roman"/>
          <w:szCs w:val="21"/>
        </w:rPr>
        <w:t>日，中共中央、国务院发布《关于完整准确全面贯彻新发展理念做好碳达峰碳中和工作的意见》</w:t>
      </w:r>
      <w:r w:rsidR="00523968">
        <w:rPr>
          <w:rFonts w:ascii="Calibri" w:eastAsia="宋体" w:hAnsi="Calibri" w:cs="Times New Roman" w:hint="eastAsia"/>
          <w:szCs w:val="21"/>
        </w:rPr>
        <w:t>，</w:t>
      </w:r>
      <w:r w:rsidRPr="00361E4B">
        <w:rPr>
          <w:rFonts w:ascii="Calibri" w:eastAsia="宋体" w:hAnsi="Calibri" w:cs="Times New Roman"/>
          <w:szCs w:val="21"/>
        </w:rPr>
        <w:t>《</w:t>
      </w:r>
      <w:r w:rsidRPr="00361E4B">
        <w:rPr>
          <w:rFonts w:ascii="Calibri" w:eastAsia="宋体" w:hAnsi="Calibri" w:cs="Times New Roman"/>
          <w:szCs w:val="21"/>
        </w:rPr>
        <w:t>2030</w:t>
      </w:r>
      <w:r w:rsidRPr="00361E4B">
        <w:rPr>
          <w:rFonts w:ascii="Calibri" w:eastAsia="宋体" w:hAnsi="Calibri" w:cs="Times New Roman"/>
          <w:szCs w:val="21"/>
        </w:rPr>
        <w:t>年前碳达峰行动方案》</w:t>
      </w:r>
      <w:r w:rsidR="000C3731">
        <w:rPr>
          <w:rFonts w:ascii="Calibri" w:eastAsia="宋体" w:hAnsi="Calibri" w:cs="Times New Roman" w:hint="eastAsia"/>
          <w:szCs w:val="21"/>
        </w:rPr>
        <w:t>也于近日</w:t>
      </w:r>
      <w:r w:rsidRPr="00361E4B">
        <w:rPr>
          <w:rFonts w:ascii="Calibri" w:eastAsia="宋体" w:hAnsi="Calibri" w:cs="Times New Roman"/>
          <w:szCs w:val="21"/>
        </w:rPr>
        <w:t>发布。</w:t>
      </w:r>
    </w:p>
    <w:p w14:paraId="771FB81E" w14:textId="20FAFD95" w:rsidR="00361E4B" w:rsidRPr="00361E4B" w:rsidRDefault="00361E4B" w:rsidP="000C3731">
      <w:pPr>
        <w:ind w:firstLineChars="200" w:firstLine="420"/>
        <w:rPr>
          <w:rFonts w:ascii="Calibri" w:eastAsia="宋体" w:hAnsi="Calibri" w:cs="Times New Roman"/>
          <w:szCs w:val="21"/>
        </w:rPr>
      </w:pPr>
      <w:r w:rsidRPr="00361E4B">
        <w:rPr>
          <w:rFonts w:ascii="Calibri" w:eastAsia="宋体" w:hAnsi="Calibri" w:cs="Times New Roman" w:hint="eastAsia"/>
          <w:szCs w:val="21"/>
        </w:rPr>
        <w:t>为确保能够如期实现</w:t>
      </w:r>
      <w:r w:rsidRPr="00361E4B">
        <w:rPr>
          <w:rFonts w:ascii="Calibri" w:eastAsia="宋体" w:hAnsi="Calibri" w:cs="Times New Roman"/>
          <w:szCs w:val="21"/>
        </w:rPr>
        <w:t>2030</w:t>
      </w:r>
      <w:r w:rsidRPr="00361E4B">
        <w:rPr>
          <w:rFonts w:ascii="Calibri" w:eastAsia="宋体" w:hAnsi="Calibri" w:cs="Times New Roman"/>
          <w:szCs w:val="21"/>
        </w:rPr>
        <w:t>年前碳达峰目标，《行动方案》在重点任务中明确列出</w:t>
      </w:r>
      <w:r w:rsidRPr="00361E4B">
        <w:rPr>
          <w:rFonts w:ascii="Calibri" w:eastAsia="宋体" w:hAnsi="Calibri" w:cs="Times New Roman"/>
          <w:szCs w:val="21"/>
        </w:rPr>
        <w:t>“</w:t>
      </w:r>
      <w:r w:rsidRPr="00361E4B">
        <w:rPr>
          <w:rFonts w:ascii="Calibri" w:eastAsia="宋体" w:hAnsi="Calibri" w:cs="Times New Roman"/>
          <w:szCs w:val="21"/>
        </w:rPr>
        <w:t>碳达峰十大行动</w:t>
      </w:r>
      <w:r w:rsidRPr="00361E4B">
        <w:rPr>
          <w:rFonts w:ascii="Calibri" w:eastAsia="宋体" w:hAnsi="Calibri" w:cs="Times New Roman"/>
          <w:szCs w:val="21"/>
        </w:rPr>
        <w:t>”</w:t>
      </w:r>
      <w:r w:rsidRPr="00361E4B">
        <w:rPr>
          <w:rFonts w:ascii="Calibri" w:eastAsia="宋体" w:hAnsi="Calibri" w:cs="Times New Roman"/>
          <w:szCs w:val="21"/>
        </w:rPr>
        <w:t>，包括能源绿色低碳转型、节能降碳增效、工业领域碳达峰、城乡建设碳达峰、交通运输绿色低碳、循环经济助力降碳、绿色低碳科技创新、碳汇能力巩固提升、绿色低碳全民、各地区梯次有序碳达峰行动等。</w:t>
      </w:r>
    </w:p>
    <w:p w14:paraId="7E06E862" w14:textId="35CF69F3" w:rsidR="0094218D" w:rsidRDefault="00361E4B" w:rsidP="000C3731">
      <w:pPr>
        <w:ind w:firstLineChars="200" w:firstLine="420"/>
        <w:rPr>
          <w:rFonts w:ascii="Calibri" w:eastAsia="宋体" w:hAnsi="Calibri" w:cs="Times New Roman"/>
          <w:szCs w:val="21"/>
        </w:rPr>
      </w:pPr>
      <w:r w:rsidRPr="00361E4B">
        <w:rPr>
          <w:rFonts w:ascii="Calibri" w:eastAsia="宋体" w:hAnsi="Calibri" w:cs="Times New Roman" w:hint="eastAsia"/>
          <w:szCs w:val="21"/>
        </w:rPr>
        <w:t>行动方案明确</w:t>
      </w:r>
      <w:r w:rsidR="000C3731">
        <w:rPr>
          <w:rFonts w:ascii="Calibri" w:eastAsia="宋体" w:hAnsi="Calibri" w:cs="Times New Roman" w:hint="eastAsia"/>
          <w:szCs w:val="21"/>
        </w:rPr>
        <w:t>要求</w:t>
      </w:r>
      <w:r w:rsidRPr="00361E4B">
        <w:rPr>
          <w:rFonts w:ascii="Calibri" w:eastAsia="宋体" w:hAnsi="Calibri" w:cs="Times New Roman" w:hint="eastAsia"/>
          <w:szCs w:val="21"/>
        </w:rPr>
        <w:t>有序实现碳达峰。保持石油消费处于合理区间，逐步调整汽油消费规模。到</w:t>
      </w:r>
      <w:r w:rsidRPr="00361E4B">
        <w:rPr>
          <w:rFonts w:ascii="Calibri" w:eastAsia="宋体" w:hAnsi="Calibri" w:cs="Times New Roman"/>
          <w:szCs w:val="21"/>
        </w:rPr>
        <w:t>2030</w:t>
      </w:r>
      <w:r w:rsidRPr="00361E4B">
        <w:rPr>
          <w:rFonts w:ascii="Calibri" w:eastAsia="宋体" w:hAnsi="Calibri" w:cs="Times New Roman"/>
          <w:szCs w:val="21"/>
        </w:rPr>
        <w:t>年，当年新增新能源、清洁能源动力的交通工具比例达到</w:t>
      </w:r>
      <w:r w:rsidRPr="00361E4B">
        <w:rPr>
          <w:rFonts w:ascii="Calibri" w:eastAsia="宋体" w:hAnsi="Calibri" w:cs="Times New Roman"/>
          <w:szCs w:val="21"/>
        </w:rPr>
        <w:t>40%</w:t>
      </w:r>
      <w:r w:rsidRPr="00361E4B">
        <w:rPr>
          <w:rFonts w:ascii="Calibri" w:eastAsia="宋体" w:hAnsi="Calibri" w:cs="Times New Roman"/>
          <w:szCs w:val="21"/>
        </w:rPr>
        <w:t>左右。这是很好的实现传统车技术升级与新能源车发展的均衡性战略举措。</w:t>
      </w:r>
    </w:p>
    <w:p w14:paraId="059169F3" w14:textId="77777777" w:rsidR="00361E4B" w:rsidRPr="00361E4B" w:rsidRDefault="00361E4B" w:rsidP="00361E4B">
      <w:pPr>
        <w:ind w:firstLineChars="270" w:firstLine="567"/>
        <w:rPr>
          <w:rFonts w:ascii="Calibri" w:eastAsia="宋体" w:hAnsi="Calibri" w:cs="Times New Roman"/>
          <w:szCs w:val="21"/>
        </w:rPr>
      </w:pPr>
    </w:p>
    <w:p w14:paraId="6A0DFA33" w14:textId="64DF56C9" w:rsidR="0094218D" w:rsidRPr="002009FE" w:rsidRDefault="00361E4B" w:rsidP="0094218D">
      <w:pPr>
        <w:numPr>
          <w:ilvl w:val="0"/>
          <w:numId w:val="2"/>
        </w:numPr>
        <w:outlineLvl w:val="1"/>
        <w:rPr>
          <w:rFonts w:ascii="黑体" w:eastAsia="黑体" w:hAnsi="黑体" w:cs="黑体"/>
          <w:bCs/>
          <w:sz w:val="24"/>
        </w:rPr>
      </w:pPr>
      <w:r>
        <w:rPr>
          <w:rFonts w:ascii="黑体" w:eastAsia="黑体" w:hAnsi="黑体" w:cs="黑体" w:hint="eastAsia"/>
          <w:bCs/>
          <w:sz w:val="24"/>
        </w:rPr>
        <w:t>欧洲鼓励新能源车政策是良好的机遇</w:t>
      </w:r>
    </w:p>
    <w:p w14:paraId="0F5EB3C6" w14:textId="77777777" w:rsidR="000C3731" w:rsidRDefault="00361E4B" w:rsidP="000C3731">
      <w:pPr>
        <w:ind w:firstLineChars="200" w:firstLine="420"/>
        <w:rPr>
          <w:rFonts w:ascii="Calibri" w:eastAsia="宋体" w:hAnsi="Calibri" w:cs="Times New Roman"/>
          <w:szCs w:val="21"/>
        </w:rPr>
      </w:pPr>
      <w:r w:rsidRPr="00361E4B">
        <w:rPr>
          <w:rFonts w:ascii="Calibri" w:eastAsia="宋体" w:hAnsi="Calibri" w:cs="Times New Roman" w:hint="eastAsia"/>
          <w:szCs w:val="21"/>
        </w:rPr>
        <w:t>对于购买售价在</w:t>
      </w:r>
      <w:r w:rsidRPr="00361E4B">
        <w:rPr>
          <w:rFonts w:ascii="Calibri" w:eastAsia="宋体" w:hAnsi="Calibri" w:cs="Times New Roman"/>
          <w:szCs w:val="21"/>
        </w:rPr>
        <w:t>4.5</w:t>
      </w:r>
      <w:r w:rsidRPr="00361E4B">
        <w:rPr>
          <w:rFonts w:ascii="Calibri" w:eastAsia="宋体" w:hAnsi="Calibri" w:cs="Times New Roman"/>
          <w:szCs w:val="21"/>
        </w:rPr>
        <w:t>万欧元以下纯电动汽车的个人消费者，法国政府将提供</w:t>
      </w:r>
      <w:r w:rsidRPr="00361E4B">
        <w:rPr>
          <w:rFonts w:ascii="Calibri" w:eastAsia="宋体" w:hAnsi="Calibri" w:cs="Times New Roman"/>
          <w:szCs w:val="21"/>
        </w:rPr>
        <w:t>6,000</w:t>
      </w:r>
      <w:r w:rsidRPr="00361E4B">
        <w:rPr>
          <w:rFonts w:ascii="Calibri" w:eastAsia="宋体" w:hAnsi="Calibri" w:cs="Times New Roman"/>
          <w:szCs w:val="21"/>
        </w:rPr>
        <w:t>欧元的补贴，企业客户的补贴金额为</w:t>
      </w:r>
      <w:r w:rsidRPr="00361E4B">
        <w:rPr>
          <w:rFonts w:ascii="Calibri" w:eastAsia="宋体" w:hAnsi="Calibri" w:cs="Times New Roman"/>
          <w:szCs w:val="21"/>
        </w:rPr>
        <w:t>4,000</w:t>
      </w:r>
      <w:r w:rsidRPr="00361E4B">
        <w:rPr>
          <w:rFonts w:ascii="Calibri" w:eastAsia="宋体" w:hAnsi="Calibri" w:cs="Times New Roman"/>
          <w:szCs w:val="21"/>
        </w:rPr>
        <w:t>欧元。如果车辆的价格在</w:t>
      </w:r>
      <w:r w:rsidRPr="00361E4B">
        <w:rPr>
          <w:rFonts w:ascii="Calibri" w:eastAsia="宋体" w:hAnsi="Calibri" w:cs="Times New Roman"/>
          <w:szCs w:val="21"/>
        </w:rPr>
        <w:t>4.5</w:t>
      </w:r>
      <w:r w:rsidRPr="00361E4B">
        <w:rPr>
          <w:rFonts w:ascii="Calibri" w:eastAsia="宋体" w:hAnsi="Calibri" w:cs="Times New Roman"/>
          <w:szCs w:val="21"/>
        </w:rPr>
        <w:t>万至</w:t>
      </w:r>
      <w:r w:rsidRPr="00361E4B">
        <w:rPr>
          <w:rFonts w:ascii="Calibri" w:eastAsia="宋体" w:hAnsi="Calibri" w:cs="Times New Roman"/>
          <w:szCs w:val="21"/>
        </w:rPr>
        <w:t>6</w:t>
      </w:r>
      <w:r w:rsidRPr="00361E4B">
        <w:rPr>
          <w:rFonts w:ascii="Calibri" w:eastAsia="宋体" w:hAnsi="Calibri" w:cs="Times New Roman"/>
          <w:szCs w:val="21"/>
        </w:rPr>
        <w:t>万欧元之间，补贴金额为</w:t>
      </w:r>
      <w:r w:rsidRPr="00361E4B">
        <w:rPr>
          <w:rFonts w:ascii="Calibri" w:eastAsia="宋体" w:hAnsi="Calibri" w:cs="Times New Roman"/>
          <w:szCs w:val="21"/>
        </w:rPr>
        <w:t>2,000</w:t>
      </w:r>
      <w:r w:rsidRPr="00361E4B">
        <w:rPr>
          <w:rFonts w:ascii="Calibri" w:eastAsia="宋体" w:hAnsi="Calibri" w:cs="Times New Roman"/>
          <w:szCs w:val="21"/>
        </w:rPr>
        <w:t>欧元。纯电动商用车可以享受更高的补贴，私人买家为</w:t>
      </w:r>
      <w:r w:rsidRPr="00361E4B">
        <w:rPr>
          <w:rFonts w:ascii="Calibri" w:eastAsia="宋体" w:hAnsi="Calibri" w:cs="Times New Roman"/>
          <w:szCs w:val="21"/>
        </w:rPr>
        <w:t>7,000</w:t>
      </w:r>
      <w:r w:rsidRPr="00361E4B">
        <w:rPr>
          <w:rFonts w:ascii="Calibri" w:eastAsia="宋体" w:hAnsi="Calibri" w:cs="Times New Roman"/>
          <w:szCs w:val="21"/>
        </w:rPr>
        <w:t>欧元，企业买家为</w:t>
      </w:r>
      <w:r w:rsidRPr="00361E4B">
        <w:rPr>
          <w:rFonts w:ascii="Calibri" w:eastAsia="宋体" w:hAnsi="Calibri" w:cs="Times New Roman"/>
          <w:szCs w:val="21"/>
        </w:rPr>
        <w:t>5,000</w:t>
      </w:r>
      <w:r w:rsidRPr="00361E4B">
        <w:rPr>
          <w:rFonts w:ascii="Calibri" w:eastAsia="宋体" w:hAnsi="Calibri" w:cs="Times New Roman"/>
          <w:szCs w:val="21"/>
        </w:rPr>
        <w:t>欧元。插电式混合动力汽车可以获得</w:t>
      </w:r>
      <w:r w:rsidRPr="00361E4B">
        <w:rPr>
          <w:rFonts w:ascii="Calibri" w:eastAsia="宋体" w:hAnsi="Calibri" w:cs="Times New Roman"/>
          <w:szCs w:val="21"/>
        </w:rPr>
        <w:t>1,000</w:t>
      </w:r>
      <w:r w:rsidRPr="00361E4B">
        <w:rPr>
          <w:rFonts w:ascii="Calibri" w:eastAsia="宋体" w:hAnsi="Calibri" w:cs="Times New Roman"/>
          <w:szCs w:val="21"/>
        </w:rPr>
        <w:t>欧元的补贴</w:t>
      </w:r>
      <w:r w:rsidR="0094218D" w:rsidRPr="00361E4B">
        <w:rPr>
          <w:rFonts w:ascii="Calibri" w:eastAsia="宋体" w:hAnsi="Calibri" w:cs="Times New Roman" w:hint="eastAsia"/>
          <w:szCs w:val="21"/>
        </w:rPr>
        <w:t>。</w:t>
      </w:r>
    </w:p>
    <w:p w14:paraId="15DB382D" w14:textId="3217CB5C" w:rsidR="0094218D" w:rsidRPr="000C3731" w:rsidRDefault="00E5056D" w:rsidP="000C3731">
      <w:pPr>
        <w:ind w:firstLineChars="200" w:firstLine="420"/>
        <w:rPr>
          <w:rFonts w:ascii="Calibri" w:eastAsia="宋体" w:hAnsi="Calibri" w:cs="Times New Roman"/>
          <w:szCs w:val="21"/>
        </w:rPr>
      </w:pPr>
      <w:r>
        <w:rPr>
          <w:rFonts w:ascii="Calibri" w:eastAsia="宋体" w:hAnsi="Calibri" w:cs="Times New Roman" w:hint="eastAsia"/>
          <w:szCs w:val="21"/>
        </w:rPr>
        <w:t>由于世界新能源车的产业链在中国，因此欧洲新能源车的高速增长拉动中国新能源车产业链全系列产品的对欧洲销售增长，</w:t>
      </w:r>
      <w:r w:rsidR="000C3731">
        <w:rPr>
          <w:rFonts w:ascii="Calibri" w:eastAsia="宋体" w:hAnsi="Calibri" w:cs="Times New Roman" w:hint="eastAsia"/>
          <w:szCs w:val="21"/>
        </w:rPr>
        <w:t>这</w:t>
      </w:r>
      <w:r>
        <w:rPr>
          <w:rFonts w:ascii="Calibri" w:eastAsia="宋体" w:hAnsi="Calibri" w:cs="Times New Roman" w:hint="eastAsia"/>
          <w:szCs w:val="21"/>
        </w:rPr>
        <w:t>也是很好的产业拉动</w:t>
      </w:r>
      <w:r w:rsidR="000C3731">
        <w:rPr>
          <w:rFonts w:ascii="Calibri" w:eastAsia="宋体" w:hAnsi="Calibri" w:cs="Times New Roman" w:hint="eastAsia"/>
          <w:szCs w:val="21"/>
        </w:rPr>
        <w:t>。</w:t>
      </w:r>
      <w:r>
        <w:rPr>
          <w:rFonts w:ascii="Calibri" w:eastAsia="宋体" w:hAnsi="Calibri" w:cs="Times New Roman" w:hint="eastAsia"/>
          <w:szCs w:val="21"/>
        </w:rPr>
        <w:t>尤其是成熟的新能源车整车、充电桩、三电系列产品都有较大的出口量，这也是拉动中国产业发展的机遇。由于日韩新能源车产业链的转型较慢，产业链配套体系</w:t>
      </w:r>
      <w:r w:rsidR="000C3731">
        <w:rPr>
          <w:rFonts w:ascii="Calibri" w:eastAsia="宋体" w:hAnsi="Calibri" w:cs="Times New Roman" w:hint="eastAsia"/>
          <w:szCs w:val="21"/>
        </w:rPr>
        <w:t>中国优势</w:t>
      </w:r>
      <w:r>
        <w:rPr>
          <w:rFonts w:ascii="Calibri" w:eastAsia="宋体" w:hAnsi="Calibri" w:cs="Times New Roman" w:hint="eastAsia"/>
          <w:szCs w:val="21"/>
        </w:rPr>
        <w:t>巨大，疫情冲击下的东南亚难以有效恢复产业活力，中国新能源发展带来世界性的发展机遇。</w:t>
      </w:r>
    </w:p>
    <w:p w14:paraId="172B4721" w14:textId="77777777" w:rsidR="0094218D" w:rsidRPr="000C3731" w:rsidRDefault="0094218D" w:rsidP="0094218D">
      <w:pPr>
        <w:rPr>
          <w:rFonts w:asciiTheme="minorEastAsia" w:hAnsiTheme="minorEastAsia" w:cs="黑体"/>
          <w:bCs/>
          <w:szCs w:val="21"/>
        </w:rPr>
      </w:pPr>
    </w:p>
    <w:p w14:paraId="7254825E" w14:textId="77777777" w:rsidR="0094218D" w:rsidRPr="00044A32" w:rsidRDefault="0094218D" w:rsidP="0094218D">
      <w:pPr>
        <w:outlineLvl w:val="0"/>
        <w:rPr>
          <w:b/>
        </w:rPr>
      </w:pPr>
      <w:r w:rsidRPr="00044A32">
        <w:rPr>
          <w:rFonts w:hint="eastAsia"/>
          <w:b/>
        </w:rPr>
        <w:t>二、</w:t>
      </w:r>
      <w:r w:rsidRPr="00044A32">
        <w:rPr>
          <w:rFonts w:cs="宋体" w:hint="eastAsia"/>
          <w:b/>
          <w:bCs/>
        </w:rPr>
        <w:t>本周上市新车</w:t>
      </w:r>
    </w:p>
    <w:p w14:paraId="693A4163" w14:textId="77777777" w:rsidR="00734824" w:rsidRPr="00E175ED" w:rsidRDefault="00734824" w:rsidP="0094218D">
      <w:pPr>
        <w:pStyle w:val="a8"/>
        <w:numPr>
          <w:ilvl w:val="0"/>
          <w:numId w:val="6"/>
        </w:numPr>
        <w:ind w:firstLineChars="0"/>
        <w:outlineLvl w:val="1"/>
        <w:rPr>
          <w:b/>
        </w:rPr>
      </w:pPr>
      <w:r w:rsidRPr="00E175ED">
        <w:rPr>
          <w:b/>
        </w:rPr>
        <w:t>上汽大众ID.3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040"/>
        <w:gridCol w:w="81"/>
      </w:tblGrid>
      <w:tr w:rsidR="00734824" w:rsidRPr="00CF00EE" w14:paraId="5B884032" w14:textId="77777777" w:rsidTr="00E7659A">
        <w:trPr>
          <w:tblCellSpacing w:w="15" w:type="dxa"/>
        </w:trPr>
        <w:tc>
          <w:tcPr>
            <w:tcW w:w="0" w:type="auto"/>
            <w:tcBorders>
              <w:top w:val="nil"/>
              <w:left w:val="nil"/>
              <w:bottom w:val="nil"/>
              <w:right w:val="nil"/>
            </w:tcBorders>
            <w:hideMark/>
          </w:tcPr>
          <w:p w14:paraId="7AEB5A5D" w14:textId="77777777" w:rsidR="00734824" w:rsidRPr="00CF00EE" w:rsidRDefault="00734824" w:rsidP="00E7659A">
            <w:pPr>
              <w:widowControl/>
              <w:jc w:val="left"/>
              <w:rPr>
                <w:rFonts w:ascii="宋体" w:eastAsia="宋体" w:hAnsi="宋体" w:cs="宋体"/>
                <w:kern w:val="0"/>
                <w:sz w:val="24"/>
              </w:rPr>
            </w:pPr>
          </w:p>
        </w:tc>
        <w:tc>
          <w:tcPr>
            <w:tcW w:w="0" w:type="auto"/>
            <w:tcBorders>
              <w:top w:val="nil"/>
              <w:left w:val="nil"/>
              <w:bottom w:val="nil"/>
              <w:right w:val="nil"/>
            </w:tcBorders>
            <w:hideMark/>
          </w:tcPr>
          <w:p w14:paraId="31F6951A" w14:textId="77777777" w:rsidR="00734824" w:rsidRPr="00CF00EE" w:rsidRDefault="00734824" w:rsidP="00E7659A">
            <w:pPr>
              <w:widowControl/>
              <w:jc w:val="left"/>
              <w:rPr>
                <w:rFonts w:ascii="微软雅黑" w:eastAsia="微软雅黑" w:hAnsi="微软雅黑" w:cs="宋体"/>
                <w:color w:val="000000"/>
                <w:kern w:val="0"/>
                <w:sz w:val="27"/>
                <w:szCs w:val="27"/>
              </w:rPr>
            </w:pPr>
            <w:r w:rsidRPr="00CF00EE">
              <w:rPr>
                <w:rFonts w:ascii="微软雅黑" w:eastAsia="微软雅黑" w:hAnsi="微软雅黑" w:cs="宋体"/>
                <w:noProof/>
                <w:color w:val="000000"/>
                <w:kern w:val="0"/>
                <w:sz w:val="27"/>
                <w:szCs w:val="27"/>
              </w:rPr>
              <w:drawing>
                <wp:inline distT="0" distB="0" distL="0" distR="0" wp14:anchorId="11DE7A05" wp14:editId="3AA596B6">
                  <wp:extent cx="3156364" cy="1800000"/>
                  <wp:effectExtent l="0" t="0" r="6350" b="0"/>
                  <wp:docPr id="9" name="图片 9" descr="http://58.246.65.10:8231/UploadFile/2021102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1025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6364" cy="1800000"/>
                          </a:xfrm>
                          <a:prstGeom prst="rect">
                            <a:avLst/>
                          </a:prstGeom>
                          <a:noFill/>
                          <a:ln>
                            <a:noFill/>
                          </a:ln>
                        </pic:spPr>
                      </pic:pic>
                    </a:graphicData>
                  </a:graphic>
                </wp:inline>
              </w:drawing>
            </w:r>
          </w:p>
        </w:tc>
        <w:tc>
          <w:tcPr>
            <w:tcW w:w="0" w:type="auto"/>
            <w:tcBorders>
              <w:top w:val="nil"/>
              <w:left w:val="nil"/>
              <w:bottom w:val="nil"/>
              <w:right w:val="nil"/>
            </w:tcBorders>
            <w:hideMark/>
          </w:tcPr>
          <w:p w14:paraId="5BC2CEE6" w14:textId="77777777" w:rsidR="00734824" w:rsidRPr="00CF00EE" w:rsidRDefault="00734824" w:rsidP="00E7659A">
            <w:pPr>
              <w:widowControl/>
              <w:jc w:val="left"/>
              <w:rPr>
                <w:rFonts w:ascii="微软雅黑" w:eastAsia="微软雅黑" w:hAnsi="微软雅黑" w:cs="宋体"/>
                <w:color w:val="000000"/>
                <w:kern w:val="0"/>
                <w:sz w:val="27"/>
                <w:szCs w:val="27"/>
              </w:rPr>
            </w:pPr>
          </w:p>
        </w:tc>
      </w:tr>
    </w:tbl>
    <w:p w14:paraId="1513948F" w14:textId="77777777" w:rsidR="00734824" w:rsidRDefault="00734824" w:rsidP="0094218D">
      <w:r>
        <w:t>10月22日，上汽大众ID.3上市，新车共推3款，补贴后售价区间为15.9888万-17.3888万元，享受国补1.8万元。</w:t>
      </w:r>
    </w:p>
    <w:p w14:paraId="2B36F5FC" w14:textId="77777777" w:rsidR="00734824" w:rsidRDefault="00734824" w:rsidP="0094218D">
      <w:r>
        <w:rPr>
          <w:rFonts w:hint="eastAsia"/>
        </w:rPr>
        <w:t>外观方面，新车采用双色车身设计、贯穿式日行灯。</w:t>
      </w:r>
    </w:p>
    <w:p w14:paraId="76879BAF" w14:textId="77777777" w:rsidR="00734824" w:rsidRDefault="00734824" w:rsidP="0094218D">
      <w:r>
        <w:rPr>
          <w:rFonts w:hint="eastAsia"/>
        </w:rPr>
        <w:t>内饰方面，新车采用</w:t>
      </w:r>
      <w:r>
        <w:t>10英寸中控屏。</w:t>
      </w:r>
    </w:p>
    <w:p w14:paraId="4B6C924B" w14:textId="77777777" w:rsidR="00734824" w:rsidRDefault="00734824" w:rsidP="0094218D">
      <w:r>
        <w:rPr>
          <w:rFonts w:hint="eastAsia"/>
        </w:rPr>
        <w:t>动力方面，新车搭载纯电动机，</w:t>
      </w:r>
      <w:r>
        <w:t>NEDC综合续航里程达430km。</w:t>
      </w:r>
    </w:p>
    <w:p w14:paraId="2EA7AA75" w14:textId="77777777" w:rsidR="00C9687F" w:rsidRPr="00E175ED" w:rsidRDefault="00C9687F" w:rsidP="00C9687F">
      <w:pPr>
        <w:pStyle w:val="a8"/>
        <w:numPr>
          <w:ilvl w:val="0"/>
          <w:numId w:val="6"/>
        </w:numPr>
        <w:ind w:firstLineChars="0"/>
        <w:outlineLvl w:val="1"/>
        <w:rPr>
          <w:b/>
        </w:rPr>
      </w:pPr>
      <w:r w:rsidRPr="00E175ED">
        <w:rPr>
          <w:b/>
        </w:rPr>
        <w:t>华梓1</w:t>
      </w:r>
      <w:r>
        <w:rPr>
          <w:b/>
        </w:rPr>
        <w:t>号</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11"/>
        <w:gridCol w:w="81"/>
      </w:tblGrid>
      <w:tr w:rsidR="00C9687F" w:rsidRPr="00CF00EE" w14:paraId="1FEED9D6" w14:textId="77777777" w:rsidTr="00260855">
        <w:trPr>
          <w:tblCellSpacing w:w="15" w:type="dxa"/>
        </w:trPr>
        <w:tc>
          <w:tcPr>
            <w:tcW w:w="0" w:type="auto"/>
            <w:tcBorders>
              <w:top w:val="nil"/>
              <w:left w:val="nil"/>
              <w:bottom w:val="nil"/>
              <w:right w:val="nil"/>
            </w:tcBorders>
            <w:hideMark/>
          </w:tcPr>
          <w:p w14:paraId="7143277D" w14:textId="77777777" w:rsidR="00C9687F" w:rsidRPr="00CF00EE" w:rsidRDefault="00C9687F" w:rsidP="00260855">
            <w:pPr>
              <w:widowControl/>
              <w:jc w:val="left"/>
              <w:rPr>
                <w:rFonts w:ascii="宋体" w:eastAsia="宋体" w:hAnsi="宋体" w:cs="宋体"/>
                <w:kern w:val="0"/>
                <w:sz w:val="24"/>
              </w:rPr>
            </w:pPr>
          </w:p>
        </w:tc>
        <w:tc>
          <w:tcPr>
            <w:tcW w:w="0" w:type="auto"/>
            <w:tcBorders>
              <w:top w:val="nil"/>
              <w:left w:val="nil"/>
              <w:bottom w:val="nil"/>
              <w:right w:val="nil"/>
            </w:tcBorders>
            <w:hideMark/>
          </w:tcPr>
          <w:p w14:paraId="384ED036" w14:textId="77777777" w:rsidR="00C9687F" w:rsidRPr="00CF00EE" w:rsidRDefault="00C9687F" w:rsidP="00260855">
            <w:pPr>
              <w:widowControl/>
              <w:jc w:val="left"/>
              <w:rPr>
                <w:rFonts w:ascii="微软雅黑" w:eastAsia="微软雅黑" w:hAnsi="微软雅黑" w:cs="宋体"/>
                <w:color w:val="000000"/>
                <w:kern w:val="0"/>
                <w:sz w:val="27"/>
                <w:szCs w:val="27"/>
              </w:rPr>
            </w:pPr>
            <w:r w:rsidRPr="00CF00EE">
              <w:rPr>
                <w:rFonts w:ascii="微软雅黑" w:eastAsia="微软雅黑" w:hAnsi="微软雅黑" w:cs="宋体"/>
                <w:noProof/>
                <w:color w:val="000000"/>
                <w:kern w:val="0"/>
                <w:sz w:val="27"/>
                <w:szCs w:val="27"/>
              </w:rPr>
              <w:drawing>
                <wp:inline distT="0" distB="0" distL="0" distR="0" wp14:anchorId="75860500" wp14:editId="10F23B85">
                  <wp:extent cx="3398020" cy="1800000"/>
                  <wp:effectExtent l="0" t="0" r="0" b="0"/>
                  <wp:docPr id="32" name="图片 32" descr="http://58.246.65.10:8231/UploadFile/2021102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1025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8020" cy="1800000"/>
                          </a:xfrm>
                          <a:prstGeom prst="rect">
                            <a:avLst/>
                          </a:prstGeom>
                          <a:noFill/>
                          <a:ln>
                            <a:noFill/>
                          </a:ln>
                        </pic:spPr>
                      </pic:pic>
                    </a:graphicData>
                  </a:graphic>
                </wp:inline>
              </w:drawing>
            </w:r>
          </w:p>
        </w:tc>
        <w:tc>
          <w:tcPr>
            <w:tcW w:w="0" w:type="auto"/>
            <w:tcBorders>
              <w:top w:val="nil"/>
              <w:left w:val="nil"/>
              <w:bottom w:val="nil"/>
              <w:right w:val="nil"/>
            </w:tcBorders>
            <w:hideMark/>
          </w:tcPr>
          <w:p w14:paraId="42966D60" w14:textId="77777777" w:rsidR="00C9687F" w:rsidRPr="00CF00EE" w:rsidRDefault="00C9687F" w:rsidP="00260855">
            <w:pPr>
              <w:widowControl/>
              <w:jc w:val="left"/>
              <w:rPr>
                <w:rFonts w:ascii="微软雅黑" w:eastAsia="微软雅黑" w:hAnsi="微软雅黑" w:cs="宋体"/>
                <w:color w:val="000000"/>
                <w:kern w:val="0"/>
                <w:sz w:val="27"/>
                <w:szCs w:val="27"/>
              </w:rPr>
            </w:pPr>
          </w:p>
        </w:tc>
      </w:tr>
    </w:tbl>
    <w:p w14:paraId="2927B80B" w14:textId="77777777" w:rsidR="00C9687F" w:rsidRDefault="00C9687F" w:rsidP="00C9687F">
      <w:r>
        <w:t>10月22日，华梓1号上市，新车共推2款，售价区间为2.98万-3.68万元。</w:t>
      </w:r>
    </w:p>
    <w:p w14:paraId="73CC348B" w14:textId="77777777" w:rsidR="00C9687F" w:rsidRDefault="00C9687F" w:rsidP="00C9687F">
      <w:r>
        <w:rPr>
          <w:rFonts w:hint="eastAsia"/>
        </w:rPr>
        <w:t>外观方面，新车采用黑色封闭格栅、悬浮式车顶、圆形尾灯。</w:t>
      </w:r>
    </w:p>
    <w:p w14:paraId="7C089B53" w14:textId="77777777" w:rsidR="00C9687F" w:rsidRDefault="00C9687F" w:rsidP="00C9687F">
      <w:r>
        <w:rPr>
          <w:rFonts w:hint="eastAsia"/>
        </w:rPr>
        <w:t>动力方面，新车搭载纯电动机，</w:t>
      </w:r>
      <w:r>
        <w:t>NEDC综合续航里程达101km。</w:t>
      </w:r>
    </w:p>
    <w:p w14:paraId="19C7733A" w14:textId="77777777" w:rsidR="00C9687F" w:rsidRPr="001E0447" w:rsidRDefault="00C9687F" w:rsidP="00C9687F">
      <w:pPr>
        <w:pStyle w:val="a8"/>
        <w:numPr>
          <w:ilvl w:val="0"/>
          <w:numId w:val="6"/>
        </w:numPr>
        <w:ind w:firstLineChars="0"/>
        <w:outlineLvl w:val="1"/>
        <w:rPr>
          <w:b/>
        </w:rPr>
      </w:pPr>
      <w:r w:rsidRPr="001E0447">
        <w:rPr>
          <w:b/>
        </w:rPr>
        <w:t>几何A</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26"/>
        <w:gridCol w:w="81"/>
      </w:tblGrid>
      <w:tr w:rsidR="00C9687F" w:rsidRPr="008157D1" w14:paraId="524AAFA8" w14:textId="77777777" w:rsidTr="00260855">
        <w:trPr>
          <w:tblCellSpacing w:w="15" w:type="dxa"/>
        </w:trPr>
        <w:tc>
          <w:tcPr>
            <w:tcW w:w="0" w:type="auto"/>
            <w:tcBorders>
              <w:top w:val="nil"/>
              <w:left w:val="nil"/>
              <w:bottom w:val="nil"/>
              <w:right w:val="nil"/>
            </w:tcBorders>
            <w:hideMark/>
          </w:tcPr>
          <w:p w14:paraId="139C2973" w14:textId="77777777" w:rsidR="00C9687F" w:rsidRPr="008157D1" w:rsidRDefault="00C9687F" w:rsidP="00260855">
            <w:pPr>
              <w:widowControl/>
              <w:jc w:val="left"/>
              <w:rPr>
                <w:rFonts w:ascii="宋体" w:eastAsia="宋体" w:hAnsi="宋体" w:cs="宋体"/>
                <w:kern w:val="0"/>
                <w:sz w:val="24"/>
              </w:rPr>
            </w:pPr>
          </w:p>
        </w:tc>
        <w:tc>
          <w:tcPr>
            <w:tcW w:w="0" w:type="auto"/>
            <w:tcBorders>
              <w:top w:val="nil"/>
              <w:left w:val="nil"/>
              <w:bottom w:val="nil"/>
              <w:right w:val="nil"/>
            </w:tcBorders>
            <w:hideMark/>
          </w:tcPr>
          <w:p w14:paraId="68EEEF26" w14:textId="77777777" w:rsidR="00C9687F" w:rsidRPr="008157D1" w:rsidRDefault="00C9687F" w:rsidP="00260855">
            <w:pPr>
              <w:widowControl/>
              <w:jc w:val="left"/>
              <w:rPr>
                <w:rFonts w:ascii="微软雅黑" w:eastAsia="微软雅黑" w:hAnsi="微软雅黑" w:cs="宋体"/>
                <w:color w:val="000000"/>
                <w:kern w:val="0"/>
                <w:sz w:val="27"/>
                <w:szCs w:val="27"/>
              </w:rPr>
            </w:pPr>
            <w:r w:rsidRPr="008157D1">
              <w:rPr>
                <w:rFonts w:ascii="微软雅黑" w:eastAsia="微软雅黑" w:hAnsi="微软雅黑" w:cs="宋体"/>
                <w:noProof/>
                <w:color w:val="000000"/>
                <w:kern w:val="0"/>
                <w:sz w:val="27"/>
                <w:szCs w:val="27"/>
              </w:rPr>
              <w:drawing>
                <wp:inline distT="0" distB="0" distL="0" distR="0" wp14:anchorId="4DD59F5D" wp14:editId="754F3D10">
                  <wp:extent cx="3471429" cy="1800000"/>
                  <wp:effectExtent l="0" t="0" r="0" b="0"/>
                  <wp:docPr id="19" name="图片 19" descr="http://58.246.65.10:8231/UploadFile/2021102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58.246.65.10:8231/UploadFile/20211029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142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15984DC" w14:textId="77777777" w:rsidR="00C9687F" w:rsidRPr="008157D1" w:rsidRDefault="00C9687F" w:rsidP="00260855">
            <w:pPr>
              <w:widowControl/>
              <w:jc w:val="left"/>
              <w:rPr>
                <w:rFonts w:ascii="微软雅黑" w:eastAsia="微软雅黑" w:hAnsi="微软雅黑" w:cs="宋体"/>
                <w:color w:val="000000"/>
                <w:kern w:val="0"/>
                <w:sz w:val="27"/>
                <w:szCs w:val="27"/>
              </w:rPr>
            </w:pPr>
          </w:p>
        </w:tc>
      </w:tr>
    </w:tbl>
    <w:p w14:paraId="1641A1AA" w14:textId="77777777" w:rsidR="00C9687F" w:rsidRDefault="00C9687F" w:rsidP="00C9687F">
      <w:r>
        <w:t>10月28日，几何A新车型上市，新车补贴后售价为19.87万元，享受国补1.8万元。</w:t>
      </w:r>
    </w:p>
    <w:p w14:paraId="6EE3C43B" w14:textId="77777777" w:rsidR="00C9687F" w:rsidRDefault="00C9687F" w:rsidP="00C9687F">
      <w:r>
        <w:rPr>
          <w:rFonts w:hint="eastAsia"/>
        </w:rPr>
        <w:t>外观方面，新车与现款车型基本保持一致。</w:t>
      </w:r>
    </w:p>
    <w:p w14:paraId="32EC0498" w14:textId="77777777" w:rsidR="00C9687F" w:rsidRDefault="00C9687F" w:rsidP="00C9687F">
      <w:r>
        <w:rPr>
          <w:rFonts w:hint="eastAsia"/>
        </w:rPr>
        <w:t>动力方面，新车搭载纯电动机，</w:t>
      </w:r>
      <w:r>
        <w:t>NEDC综合续航里程达600km。</w:t>
      </w:r>
    </w:p>
    <w:p w14:paraId="7BDFAB6B" w14:textId="77777777" w:rsidR="00734824" w:rsidRPr="006A732A" w:rsidRDefault="00734824" w:rsidP="0094218D">
      <w:pPr>
        <w:pStyle w:val="a8"/>
        <w:numPr>
          <w:ilvl w:val="0"/>
          <w:numId w:val="6"/>
        </w:numPr>
        <w:ind w:firstLineChars="0"/>
        <w:outlineLvl w:val="1"/>
        <w:rPr>
          <w:b/>
        </w:rPr>
      </w:pPr>
      <w:r>
        <w:rPr>
          <w:b/>
        </w:rPr>
        <w:t>新款奇瑞新能源大蚂蚁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70"/>
        <w:gridCol w:w="81"/>
      </w:tblGrid>
      <w:tr w:rsidR="00734824" w:rsidRPr="008157D1" w14:paraId="6AA4EAD4" w14:textId="77777777" w:rsidTr="00E7659A">
        <w:trPr>
          <w:tblCellSpacing w:w="15" w:type="dxa"/>
        </w:trPr>
        <w:tc>
          <w:tcPr>
            <w:tcW w:w="0" w:type="auto"/>
            <w:tcBorders>
              <w:top w:val="nil"/>
              <w:left w:val="nil"/>
              <w:bottom w:val="nil"/>
              <w:right w:val="nil"/>
            </w:tcBorders>
            <w:hideMark/>
          </w:tcPr>
          <w:p w14:paraId="4EC01484" w14:textId="77777777" w:rsidR="00734824" w:rsidRPr="008157D1" w:rsidRDefault="00734824" w:rsidP="00E7659A">
            <w:pPr>
              <w:widowControl/>
              <w:jc w:val="left"/>
              <w:rPr>
                <w:rFonts w:ascii="宋体" w:eastAsia="宋体" w:hAnsi="宋体" w:cs="宋体"/>
                <w:kern w:val="0"/>
                <w:sz w:val="24"/>
              </w:rPr>
            </w:pPr>
          </w:p>
        </w:tc>
        <w:tc>
          <w:tcPr>
            <w:tcW w:w="0" w:type="auto"/>
            <w:tcBorders>
              <w:top w:val="nil"/>
              <w:left w:val="nil"/>
              <w:bottom w:val="nil"/>
              <w:right w:val="nil"/>
            </w:tcBorders>
            <w:hideMark/>
          </w:tcPr>
          <w:p w14:paraId="39DFF47B" w14:textId="77777777" w:rsidR="00734824" w:rsidRPr="008157D1" w:rsidRDefault="00734824" w:rsidP="00E7659A">
            <w:pPr>
              <w:widowControl/>
              <w:jc w:val="left"/>
              <w:rPr>
                <w:rFonts w:ascii="微软雅黑" w:eastAsia="微软雅黑" w:hAnsi="微软雅黑" w:cs="宋体"/>
                <w:color w:val="000000"/>
                <w:kern w:val="0"/>
                <w:sz w:val="27"/>
                <w:szCs w:val="27"/>
              </w:rPr>
            </w:pPr>
            <w:r w:rsidRPr="008157D1">
              <w:rPr>
                <w:rFonts w:ascii="微软雅黑" w:eastAsia="微软雅黑" w:hAnsi="微软雅黑" w:cs="宋体"/>
                <w:noProof/>
                <w:color w:val="000000"/>
                <w:kern w:val="0"/>
                <w:sz w:val="27"/>
                <w:szCs w:val="27"/>
              </w:rPr>
              <w:drawing>
                <wp:inline distT="0" distB="0" distL="0" distR="0" wp14:anchorId="61322DE8" wp14:editId="197FE5DB">
                  <wp:extent cx="3363158" cy="1800000"/>
                  <wp:effectExtent l="0" t="0" r="8890" b="0"/>
                  <wp:docPr id="5" name="图片 5" descr="http://58.246.65.10:8231/UploadFile/202110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1029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315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5FB2D512" w14:textId="77777777" w:rsidR="00734824" w:rsidRPr="008157D1" w:rsidRDefault="00734824" w:rsidP="00E7659A">
            <w:pPr>
              <w:widowControl/>
              <w:jc w:val="left"/>
              <w:rPr>
                <w:rFonts w:ascii="微软雅黑" w:eastAsia="微软雅黑" w:hAnsi="微软雅黑" w:cs="宋体"/>
                <w:color w:val="000000"/>
                <w:kern w:val="0"/>
                <w:sz w:val="27"/>
                <w:szCs w:val="27"/>
              </w:rPr>
            </w:pPr>
          </w:p>
        </w:tc>
      </w:tr>
    </w:tbl>
    <w:p w14:paraId="53D1B84E" w14:textId="77777777" w:rsidR="00734824" w:rsidRDefault="00734824" w:rsidP="0094218D">
      <w:r>
        <w:t>10月28日，新款奇瑞新能源大蚂蚁上市，新车共推3款，补贴后售价区间为15.66万-17.99万元，享受国补1.8万元。</w:t>
      </w:r>
    </w:p>
    <w:p w14:paraId="2F987AC1" w14:textId="77777777" w:rsidR="00734824" w:rsidRDefault="00734824" w:rsidP="0094218D">
      <w:r>
        <w:rPr>
          <w:rFonts w:hint="eastAsia"/>
        </w:rPr>
        <w:t>外观方面，新车与老款车型基本保持一致。</w:t>
      </w:r>
    </w:p>
    <w:p w14:paraId="07A9FF9B" w14:textId="77777777" w:rsidR="00734824" w:rsidRDefault="00734824" w:rsidP="0094218D">
      <w:r>
        <w:rPr>
          <w:rFonts w:hint="eastAsia"/>
        </w:rPr>
        <w:t>配置方面，新车配备</w:t>
      </w:r>
      <w:r>
        <w:t>FaceID人脸识别功能、自动泊车、自适应巡航等。</w:t>
      </w:r>
    </w:p>
    <w:p w14:paraId="1FBF8758" w14:textId="77777777" w:rsidR="00734824" w:rsidRDefault="00734824" w:rsidP="0094218D">
      <w:r>
        <w:rPr>
          <w:rFonts w:hint="eastAsia"/>
        </w:rPr>
        <w:t>动力方面，新车搭载纯电动机，</w:t>
      </w:r>
      <w:r>
        <w:t>NEDC综合续航里程达510km。</w:t>
      </w:r>
    </w:p>
    <w:p w14:paraId="567F4F90" w14:textId="77777777" w:rsidR="00734824" w:rsidRPr="00804DEF" w:rsidRDefault="00734824" w:rsidP="0094218D">
      <w:pPr>
        <w:pStyle w:val="a8"/>
        <w:numPr>
          <w:ilvl w:val="0"/>
          <w:numId w:val="6"/>
        </w:numPr>
        <w:ind w:firstLineChars="0"/>
        <w:outlineLvl w:val="1"/>
        <w:rPr>
          <w:b/>
        </w:rPr>
      </w:pPr>
      <w:r w:rsidRPr="00804DEF">
        <w:rPr>
          <w:b/>
        </w:rPr>
        <w:t>远志M1</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282"/>
        <w:gridCol w:w="81"/>
      </w:tblGrid>
      <w:tr w:rsidR="00734824" w:rsidRPr="00CF00EE" w14:paraId="7EDAB6ED" w14:textId="77777777" w:rsidTr="00E7659A">
        <w:trPr>
          <w:tblCellSpacing w:w="15" w:type="dxa"/>
        </w:trPr>
        <w:tc>
          <w:tcPr>
            <w:tcW w:w="0" w:type="auto"/>
            <w:tcBorders>
              <w:top w:val="nil"/>
              <w:left w:val="nil"/>
              <w:bottom w:val="nil"/>
              <w:right w:val="nil"/>
            </w:tcBorders>
            <w:hideMark/>
          </w:tcPr>
          <w:p w14:paraId="6D1C3202" w14:textId="77777777" w:rsidR="00734824" w:rsidRPr="00CF00EE" w:rsidRDefault="00734824" w:rsidP="00E7659A">
            <w:pPr>
              <w:widowControl/>
              <w:jc w:val="left"/>
              <w:rPr>
                <w:rFonts w:ascii="宋体" w:eastAsia="宋体" w:hAnsi="宋体" w:cs="宋体"/>
                <w:kern w:val="0"/>
                <w:sz w:val="24"/>
              </w:rPr>
            </w:pPr>
          </w:p>
        </w:tc>
        <w:tc>
          <w:tcPr>
            <w:tcW w:w="0" w:type="auto"/>
            <w:tcBorders>
              <w:top w:val="nil"/>
              <w:left w:val="nil"/>
              <w:bottom w:val="nil"/>
              <w:right w:val="nil"/>
            </w:tcBorders>
            <w:hideMark/>
          </w:tcPr>
          <w:p w14:paraId="6DB769BD" w14:textId="77777777" w:rsidR="00734824" w:rsidRPr="00CF00EE" w:rsidRDefault="00734824" w:rsidP="00E7659A">
            <w:pPr>
              <w:widowControl/>
              <w:jc w:val="left"/>
              <w:rPr>
                <w:rFonts w:ascii="微软雅黑" w:eastAsia="微软雅黑" w:hAnsi="微软雅黑" w:cs="宋体"/>
                <w:color w:val="000000"/>
                <w:kern w:val="0"/>
                <w:sz w:val="27"/>
                <w:szCs w:val="27"/>
              </w:rPr>
            </w:pPr>
            <w:r w:rsidRPr="00CF00EE">
              <w:rPr>
                <w:rFonts w:ascii="微软雅黑" w:eastAsia="微软雅黑" w:hAnsi="微软雅黑" w:cs="宋体"/>
                <w:noProof/>
                <w:color w:val="000000"/>
                <w:kern w:val="0"/>
                <w:sz w:val="27"/>
                <w:szCs w:val="27"/>
              </w:rPr>
              <w:drawing>
                <wp:inline distT="0" distB="0" distL="0" distR="0" wp14:anchorId="4721BBDC" wp14:editId="240DC791">
                  <wp:extent cx="3316399" cy="1800000"/>
                  <wp:effectExtent l="0" t="0" r="0" b="0"/>
                  <wp:docPr id="40" name="图片 40" descr="http://58.246.65.10:8231/UploadFile/2021102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10270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6399" cy="1800000"/>
                          </a:xfrm>
                          <a:prstGeom prst="rect">
                            <a:avLst/>
                          </a:prstGeom>
                          <a:noFill/>
                          <a:ln>
                            <a:noFill/>
                          </a:ln>
                        </pic:spPr>
                      </pic:pic>
                    </a:graphicData>
                  </a:graphic>
                </wp:inline>
              </w:drawing>
            </w:r>
          </w:p>
        </w:tc>
        <w:tc>
          <w:tcPr>
            <w:tcW w:w="0" w:type="auto"/>
            <w:tcBorders>
              <w:top w:val="nil"/>
              <w:left w:val="nil"/>
              <w:bottom w:val="nil"/>
              <w:right w:val="nil"/>
            </w:tcBorders>
            <w:hideMark/>
          </w:tcPr>
          <w:p w14:paraId="306070F8" w14:textId="77777777" w:rsidR="00734824" w:rsidRPr="00CF00EE" w:rsidRDefault="00734824" w:rsidP="00E7659A">
            <w:pPr>
              <w:widowControl/>
              <w:jc w:val="left"/>
              <w:rPr>
                <w:rFonts w:ascii="微软雅黑" w:eastAsia="微软雅黑" w:hAnsi="微软雅黑" w:cs="宋体"/>
                <w:color w:val="000000"/>
                <w:kern w:val="0"/>
                <w:sz w:val="27"/>
                <w:szCs w:val="27"/>
              </w:rPr>
            </w:pPr>
          </w:p>
        </w:tc>
      </w:tr>
    </w:tbl>
    <w:p w14:paraId="27A8A453" w14:textId="77777777" w:rsidR="00734824" w:rsidRDefault="00734824" w:rsidP="0094218D">
      <w:r>
        <w:t>10月26日，远志M1新车型上市，新车共推4款，补贴后售价区间为16.98万-21.88万元，享受国补1.3万元。</w:t>
      </w:r>
    </w:p>
    <w:p w14:paraId="0BB4D24E" w14:textId="77777777" w:rsidR="00734824" w:rsidRDefault="00734824" w:rsidP="0094218D">
      <w:r>
        <w:rPr>
          <w:rFonts w:hint="eastAsia"/>
        </w:rPr>
        <w:t>外观方面，新车与老款车型基本保持一致。</w:t>
      </w:r>
    </w:p>
    <w:p w14:paraId="32F4BF1F" w14:textId="77777777" w:rsidR="00734824" w:rsidRDefault="00734824" w:rsidP="0094218D">
      <w:r>
        <w:rPr>
          <w:rFonts w:hint="eastAsia"/>
        </w:rPr>
        <w:t>配置方面，新车配备定速巡航、上坡辅助、刹车辅助、胎压监测等。</w:t>
      </w:r>
    </w:p>
    <w:p w14:paraId="7254D85B" w14:textId="77777777" w:rsidR="00734824" w:rsidRDefault="00734824" w:rsidP="0094218D">
      <w:r>
        <w:rPr>
          <w:rFonts w:hint="eastAsia"/>
        </w:rPr>
        <w:t>动力方面，新车搭载纯电动机，</w:t>
      </w:r>
      <w:r>
        <w:t>NEDC综合续航里程达405km。</w:t>
      </w:r>
    </w:p>
    <w:p w14:paraId="790B7F80" w14:textId="77777777" w:rsidR="00734824" w:rsidRPr="00A263D4" w:rsidRDefault="00734824" w:rsidP="0094218D">
      <w:pPr>
        <w:pStyle w:val="a8"/>
        <w:numPr>
          <w:ilvl w:val="0"/>
          <w:numId w:val="6"/>
        </w:numPr>
        <w:ind w:firstLineChars="0"/>
        <w:outlineLvl w:val="1"/>
        <w:rPr>
          <w:b/>
        </w:rPr>
      </w:pPr>
      <w:r w:rsidRPr="00A263D4">
        <w:rPr>
          <w:b/>
        </w:rPr>
        <w:t>长安UNI-K</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96"/>
        <w:gridCol w:w="81"/>
      </w:tblGrid>
      <w:tr w:rsidR="00734824" w:rsidRPr="00CF00EE" w14:paraId="59577C7D" w14:textId="77777777" w:rsidTr="00E7659A">
        <w:trPr>
          <w:tblCellSpacing w:w="15" w:type="dxa"/>
        </w:trPr>
        <w:tc>
          <w:tcPr>
            <w:tcW w:w="0" w:type="auto"/>
            <w:tcBorders>
              <w:top w:val="nil"/>
              <w:left w:val="nil"/>
              <w:bottom w:val="nil"/>
              <w:right w:val="nil"/>
            </w:tcBorders>
            <w:hideMark/>
          </w:tcPr>
          <w:p w14:paraId="49273BC0" w14:textId="77777777" w:rsidR="00734824" w:rsidRPr="00CF00EE" w:rsidRDefault="00734824" w:rsidP="00E7659A">
            <w:pPr>
              <w:widowControl/>
              <w:jc w:val="left"/>
              <w:rPr>
                <w:rFonts w:ascii="宋体" w:eastAsia="宋体" w:hAnsi="宋体" w:cs="宋体"/>
                <w:kern w:val="0"/>
                <w:sz w:val="24"/>
              </w:rPr>
            </w:pPr>
          </w:p>
        </w:tc>
        <w:tc>
          <w:tcPr>
            <w:tcW w:w="0" w:type="auto"/>
            <w:tcBorders>
              <w:top w:val="nil"/>
              <w:left w:val="nil"/>
              <w:bottom w:val="nil"/>
              <w:right w:val="nil"/>
            </w:tcBorders>
            <w:hideMark/>
          </w:tcPr>
          <w:p w14:paraId="012BFE1C" w14:textId="77777777" w:rsidR="00734824" w:rsidRPr="00CF00EE" w:rsidRDefault="00734824" w:rsidP="00E7659A">
            <w:pPr>
              <w:widowControl/>
              <w:jc w:val="left"/>
              <w:rPr>
                <w:rFonts w:ascii="微软雅黑" w:eastAsia="微软雅黑" w:hAnsi="微软雅黑" w:cs="宋体"/>
                <w:color w:val="000000"/>
                <w:kern w:val="0"/>
                <w:sz w:val="27"/>
                <w:szCs w:val="27"/>
              </w:rPr>
            </w:pPr>
            <w:r w:rsidRPr="00CF00EE">
              <w:rPr>
                <w:rFonts w:ascii="微软雅黑" w:eastAsia="微软雅黑" w:hAnsi="微软雅黑" w:cs="宋体"/>
                <w:noProof/>
                <w:color w:val="000000"/>
                <w:kern w:val="0"/>
                <w:sz w:val="27"/>
                <w:szCs w:val="27"/>
              </w:rPr>
              <w:drawing>
                <wp:inline distT="0" distB="0" distL="0" distR="0" wp14:anchorId="0BB65DA8" wp14:editId="0AF4AD2F">
                  <wp:extent cx="3261538" cy="1800000"/>
                  <wp:effectExtent l="0" t="0" r="0" b="0"/>
                  <wp:docPr id="1" name="图片 1" descr="http://58.246.65.10:8231/UploadFile/2021102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1026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6153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FC024FB" w14:textId="77777777" w:rsidR="00734824" w:rsidRPr="00CF00EE" w:rsidRDefault="00734824" w:rsidP="00E7659A">
            <w:pPr>
              <w:widowControl/>
              <w:jc w:val="left"/>
              <w:rPr>
                <w:rFonts w:ascii="微软雅黑" w:eastAsia="微软雅黑" w:hAnsi="微软雅黑" w:cs="宋体"/>
                <w:color w:val="000000"/>
                <w:kern w:val="0"/>
                <w:sz w:val="27"/>
                <w:szCs w:val="27"/>
              </w:rPr>
            </w:pPr>
          </w:p>
        </w:tc>
      </w:tr>
    </w:tbl>
    <w:p w14:paraId="0C4F9B72" w14:textId="77777777" w:rsidR="00734824" w:rsidRDefault="00734824" w:rsidP="0094218D">
      <w:r>
        <w:t>10月25日，长安UNI-K新车型上市，新车共推2款，售价区间为14.59万-17.29万元。</w:t>
      </w:r>
    </w:p>
    <w:p w14:paraId="650B1FE8" w14:textId="77777777" w:rsidR="00734824" w:rsidRDefault="00734824" w:rsidP="0094218D">
      <w:r>
        <w:rPr>
          <w:rFonts w:hint="eastAsia"/>
        </w:rPr>
        <w:t>外观方面，新车与现款车型基本保持一致。</w:t>
      </w:r>
    </w:p>
    <w:p w14:paraId="76D3E9A9" w14:textId="77777777" w:rsidR="00734824" w:rsidRDefault="00734824" w:rsidP="0094218D">
      <w:r>
        <w:rPr>
          <w:rFonts w:hint="eastAsia"/>
        </w:rPr>
        <w:t>内饰方面，新车采用</w:t>
      </w:r>
      <w:r>
        <w:t>10.25+9.2+3.5英寸三联全液晶仪表、12.3英寸液晶触摸屏。</w:t>
      </w:r>
    </w:p>
    <w:p w14:paraId="3AB7E531" w14:textId="4378C979" w:rsidR="00734824" w:rsidRDefault="00734824" w:rsidP="0094218D">
      <w:r>
        <w:rPr>
          <w:rFonts w:hint="eastAsia"/>
        </w:rPr>
        <w:t>动力方面，新车搭载</w:t>
      </w:r>
      <w:r>
        <w:t>2.0T发动机，匹配8TIP变速箱。</w:t>
      </w:r>
    </w:p>
    <w:p w14:paraId="0BD5FA22" w14:textId="77777777" w:rsidR="000C3731" w:rsidRDefault="000C3731" w:rsidP="0094218D"/>
    <w:p w14:paraId="28B99053" w14:textId="77777777" w:rsidR="0094218D" w:rsidRPr="00DA5660" w:rsidRDefault="0094218D" w:rsidP="0094218D">
      <w:pPr>
        <w:pStyle w:val="a8"/>
        <w:numPr>
          <w:ilvl w:val="0"/>
          <w:numId w:val="14"/>
        </w:numPr>
        <w:ind w:firstLineChars="0"/>
        <w:outlineLvl w:val="0"/>
        <w:rPr>
          <w:b/>
        </w:rPr>
      </w:pPr>
      <w:r w:rsidRPr="00C97499">
        <w:rPr>
          <w:rFonts w:cs="宋体" w:hint="eastAsia"/>
          <w:b/>
          <w:bCs/>
        </w:rPr>
        <w:t>宏观经济与政策</w:t>
      </w:r>
    </w:p>
    <w:p w14:paraId="00839020" w14:textId="77777777" w:rsidR="00734824" w:rsidRPr="006A732A" w:rsidRDefault="00734824" w:rsidP="0094218D">
      <w:pPr>
        <w:pStyle w:val="a8"/>
        <w:numPr>
          <w:ilvl w:val="0"/>
          <w:numId w:val="15"/>
        </w:numPr>
        <w:ind w:firstLineChars="0"/>
        <w:outlineLvl w:val="1"/>
        <w:rPr>
          <w:b/>
        </w:rPr>
      </w:pPr>
      <w:r w:rsidRPr="006A732A">
        <w:rPr>
          <w:rFonts w:hint="eastAsia"/>
          <w:b/>
        </w:rPr>
        <w:t>交通部：前三季度交通固定资产投资超过</w:t>
      </w:r>
      <w:r w:rsidRPr="006A732A">
        <w:rPr>
          <w:b/>
        </w:rPr>
        <w:t>2.5万亿元</w:t>
      </w:r>
    </w:p>
    <w:p w14:paraId="523CD9E4" w14:textId="77777777" w:rsidR="00734824" w:rsidRDefault="00734824" w:rsidP="0094218D">
      <w:r>
        <w:t>前三季度交通固定资产投资超过2.5万亿元，同比增长2%，两年平均增长5.9%，其中三季度两年平均增长3.9%。</w:t>
      </w:r>
    </w:p>
    <w:p w14:paraId="46427591" w14:textId="564A13FC" w:rsidR="00267E7C" w:rsidRPr="000C3731" w:rsidRDefault="000C3731" w:rsidP="000C3731">
      <w:pPr>
        <w:outlineLvl w:val="1"/>
        <w:rPr>
          <w:b/>
        </w:rPr>
      </w:pPr>
      <w:r>
        <w:rPr>
          <w:rFonts w:hint="eastAsia"/>
          <w:b/>
        </w:rPr>
        <w:t>2</w:t>
      </w:r>
      <w:r>
        <w:rPr>
          <w:b/>
        </w:rPr>
        <w:t>.</w:t>
      </w:r>
      <w:r w:rsidR="00267E7C" w:rsidRPr="000C3731">
        <w:rPr>
          <w:rFonts w:hint="eastAsia"/>
          <w:b/>
        </w:rPr>
        <w:t>《关于完整准确全面贯彻新发展理念做好碳达峰碳中和工作的意见》发布</w:t>
      </w:r>
    </w:p>
    <w:p w14:paraId="7EA515F6" w14:textId="77777777" w:rsidR="00267E7C" w:rsidRDefault="00267E7C" w:rsidP="00267E7C">
      <w:r>
        <w:t>10月24日，中共中央、国务院印发《关于完整准确全面贯彻新发展理念做好碳达峰碳中和工作的意见》。其中指出，加快发展新一代信息技术、生物技术、新能源、新材料、高端装备、新能源汽车等战略性新兴产业。推动互联网、大数据、人工智能、第五代移动通信（5G）等新兴技术与绿色低碳产业深度融合。加快发展新能源和清洁能源车船，推广智能交通，推进铁路电气化改造，推动加氢站建设。加快构建便利高效、适度超前的充换电网络体系。提高燃油车船能效标准，健全交通运输装备能效标识制度，加快淘汰高耗能高排放老旧车船。</w:t>
      </w:r>
    </w:p>
    <w:p w14:paraId="5D7760DB" w14:textId="03AC75B8" w:rsidR="00267E7C" w:rsidRPr="000C3731" w:rsidRDefault="000C3731" w:rsidP="000C3731">
      <w:pPr>
        <w:outlineLvl w:val="1"/>
        <w:rPr>
          <w:b/>
        </w:rPr>
      </w:pPr>
      <w:r>
        <w:rPr>
          <w:rFonts w:hint="eastAsia"/>
          <w:b/>
        </w:rPr>
        <w:t>3</w:t>
      </w:r>
      <w:r>
        <w:rPr>
          <w:b/>
        </w:rPr>
        <w:t>.</w:t>
      </w:r>
      <w:r w:rsidR="00267E7C" w:rsidRPr="000C3731">
        <w:rPr>
          <w:rFonts w:hint="eastAsia"/>
          <w:b/>
        </w:rPr>
        <w:t>《中国应对气候变化的政策与行动》白皮书发布</w:t>
      </w:r>
    </w:p>
    <w:p w14:paraId="47CBA865" w14:textId="77777777" w:rsidR="00267E7C" w:rsidRDefault="00267E7C" w:rsidP="00267E7C">
      <w:r>
        <w:rPr>
          <w:rFonts w:hint="eastAsia"/>
        </w:rPr>
        <w:t>国务院新闻办</w:t>
      </w:r>
      <w:r>
        <w:t>27日发表《中国应对气候变化的政策与行动》白皮书。</w:t>
      </w:r>
    </w:p>
    <w:p w14:paraId="6B0807AD" w14:textId="77777777" w:rsidR="00267E7C" w:rsidRDefault="00267E7C" w:rsidP="00267E7C">
      <w:r>
        <w:rPr>
          <w:rFonts w:hint="eastAsia"/>
        </w:rPr>
        <w:t>白皮书说，气候变化是全人类的共同挑战。中国高度重视应对气候变化。作为世界上最大的发展中国家，中国克服自身经济、社会等方面困难，实施一系列应对气候变化战略、措施和行动，参与全球气候治理，应对气候变化取得了积极成效。</w:t>
      </w:r>
    </w:p>
    <w:p w14:paraId="2E1B61A6" w14:textId="77777777" w:rsidR="00267E7C" w:rsidRDefault="00267E7C" w:rsidP="00267E7C">
      <w:r>
        <w:rPr>
          <w:rFonts w:hint="eastAsia"/>
        </w:rPr>
        <w:t>白皮书介绍，中国实施积极应对气候变化国家战略。不断提高应对气候变化力度，强化自主贡献目标，加快构建碳达峰碳中和“</w:t>
      </w:r>
      <w:r>
        <w:t>1+N”政策体系。坚定走绿色低碳发展道路，实施减污降碳协同治理，积极探索低碳发展新模式。加大温室气体排放控制力度，有效控制重点工业行业温室气体排放，推动城乡建设和建筑领域绿色低碳发展，构建绿色低碳交通体系，持续提升生态碳汇能力。充分发挥市场机制作用，持续推进全国碳市场建设，建立温室气体自愿减排交易机制。推进和实施适应气候变化重大战略，持续提升应对气候变化支撑水平。</w:t>
      </w:r>
    </w:p>
    <w:p w14:paraId="577CBAC6" w14:textId="4372A0AE" w:rsidR="00267E7C" w:rsidRPr="000C3731" w:rsidRDefault="000C3731" w:rsidP="000C3731">
      <w:pPr>
        <w:outlineLvl w:val="1"/>
        <w:rPr>
          <w:b/>
        </w:rPr>
      </w:pPr>
      <w:r>
        <w:rPr>
          <w:rFonts w:hint="eastAsia"/>
          <w:b/>
        </w:rPr>
        <w:t>4</w:t>
      </w:r>
      <w:r>
        <w:rPr>
          <w:b/>
        </w:rPr>
        <w:t>.</w:t>
      </w:r>
      <w:r w:rsidR="00267E7C" w:rsidRPr="000C3731">
        <w:rPr>
          <w:rFonts w:hint="eastAsia"/>
          <w:b/>
        </w:rPr>
        <w:t>工信部启动新能源车换电应用试点工作</w:t>
      </w:r>
    </w:p>
    <w:p w14:paraId="67160F60" w14:textId="77777777" w:rsidR="00267E7C" w:rsidRDefault="00267E7C" w:rsidP="00267E7C">
      <w:r>
        <w:t>10月28日，据工信微报消息,，工业和信息化部办公厅印发了《关于启动新能源汽车换电模式应用试点工作的通知》，决定启动新能源汽车换电模式应用试点工作。纳入此次试点范围的城市共有11个，其中综合应用类城市8个（北京、南京、武汉、三亚、重庆、长春、合肥、济南），重卡特色类3个（宜宾、唐山、包头）。</w:t>
      </w:r>
    </w:p>
    <w:p w14:paraId="6BE653CB" w14:textId="544A2699" w:rsidR="00267E7C" w:rsidRDefault="000C3731" w:rsidP="000C3731">
      <w:pPr>
        <w:outlineLvl w:val="1"/>
      </w:pPr>
      <w:r>
        <w:rPr>
          <w:rFonts w:hint="eastAsia"/>
          <w:b/>
        </w:rPr>
        <w:t>5</w:t>
      </w:r>
      <w:r>
        <w:rPr>
          <w:b/>
        </w:rPr>
        <w:t>.</w:t>
      </w:r>
      <w:r w:rsidR="00267E7C" w:rsidRPr="000C3731">
        <w:rPr>
          <w:rFonts w:hint="eastAsia"/>
          <w:b/>
        </w:rPr>
        <w:t>关于印发物联网基础安全标准体系建设指南（</w:t>
      </w:r>
      <w:r w:rsidR="00267E7C" w:rsidRPr="000C3731">
        <w:rPr>
          <w:b/>
        </w:rPr>
        <w:t>2021版）的通知</w:t>
      </w:r>
    </w:p>
    <w:p w14:paraId="7E2983BC" w14:textId="77777777" w:rsidR="00267E7C" w:rsidRDefault="00267E7C" w:rsidP="00267E7C">
      <w:r>
        <w:t>10月25日，工业和信息化部网站公布《关于印发物联网基础安全标准体系建设指南（2021版）的通知》。</w:t>
      </w:r>
    </w:p>
    <w:p w14:paraId="19AFC034" w14:textId="77777777" w:rsidR="00267E7C" w:rsidRDefault="00267E7C" w:rsidP="00267E7C">
      <w:r>
        <w:t>明确物联网终端、网关、平台等关键基础环节安全要求，满足物联网基础安全保障需要，促进物联网基础安全能力提升。到2025年，推动形成较为完善的物联网基础安全标准体系，研制行业标准30项以上，提升标准在细分行业及领域的覆盖程度，提高跨行业物联网应用安全水平，保障消费者安全使用。</w:t>
      </w:r>
    </w:p>
    <w:p w14:paraId="2C93390F" w14:textId="0D6C8265" w:rsidR="00267E7C" w:rsidRPr="000C3731" w:rsidRDefault="000C3731" w:rsidP="000C3731">
      <w:pPr>
        <w:outlineLvl w:val="1"/>
        <w:rPr>
          <w:b/>
        </w:rPr>
      </w:pPr>
      <w:r>
        <w:rPr>
          <w:rFonts w:hint="eastAsia"/>
          <w:b/>
        </w:rPr>
        <w:t>6</w:t>
      </w:r>
      <w:r>
        <w:rPr>
          <w:b/>
        </w:rPr>
        <w:t>.</w:t>
      </w:r>
      <w:r w:rsidR="00267E7C" w:rsidRPr="000C3731">
        <w:rPr>
          <w:rFonts w:hint="eastAsia"/>
          <w:b/>
        </w:rPr>
        <w:t>广州市多措并举推进网约车合规化工作</w:t>
      </w:r>
    </w:p>
    <w:p w14:paraId="2700AE12" w14:textId="77777777" w:rsidR="00267E7C" w:rsidRDefault="00267E7C" w:rsidP="00267E7C">
      <w:r>
        <w:t>推进网约车合规化工作。其中包括，加大合规车辆、驾驶员供给，通过不断优化网约车从业资格培训考试流程，最大化方便驾驶员申办许可证件；实行网约车许可全流程网办，强化多部门数据共享应用，进一步完善审批流程，提升网约车许可审批效率。</w:t>
      </w:r>
    </w:p>
    <w:p w14:paraId="2EB349FE" w14:textId="12F05062" w:rsidR="00267E7C" w:rsidRDefault="000C3731" w:rsidP="000C3731">
      <w:pPr>
        <w:outlineLvl w:val="1"/>
      </w:pPr>
      <w:r>
        <w:rPr>
          <w:rFonts w:hint="eastAsia"/>
          <w:b/>
        </w:rPr>
        <w:t>7</w:t>
      </w:r>
      <w:r>
        <w:rPr>
          <w:b/>
        </w:rPr>
        <w:t>.</w:t>
      </w:r>
      <w:r w:rsidR="00267E7C" w:rsidRPr="000C3731">
        <w:rPr>
          <w:rFonts w:hint="eastAsia"/>
          <w:b/>
        </w:rPr>
        <w:t>国务院：大力推广新能源车，</w:t>
      </w:r>
      <w:r w:rsidR="00267E7C" w:rsidRPr="000C3731">
        <w:rPr>
          <w:b/>
        </w:rPr>
        <w:t>2030年占比40%</w:t>
      </w:r>
    </w:p>
    <w:p w14:paraId="2F2A5BDB" w14:textId="77777777" w:rsidR="00267E7C" w:rsidRDefault="00267E7C" w:rsidP="00267E7C">
      <w:r>
        <w:t>10月26日，国务院发布《2030年前碳达峰行动方案》，提出推动运输工具装备低碳转型，积极扩大电力、氢能、天然气、先进生物液体燃料等新能源、清洁能源在交通运输领域应用。到2030年，当年新增新能源、清洁能源动力的交通工具比例达到40%左右。</w:t>
      </w:r>
    </w:p>
    <w:p w14:paraId="7520E5BD" w14:textId="422D18A0" w:rsidR="00267E7C" w:rsidRPr="000C3731" w:rsidRDefault="000C3731" w:rsidP="000C3731">
      <w:pPr>
        <w:outlineLvl w:val="1"/>
        <w:rPr>
          <w:b/>
        </w:rPr>
      </w:pPr>
      <w:r>
        <w:rPr>
          <w:rFonts w:hint="eastAsia"/>
          <w:b/>
        </w:rPr>
        <w:t>8</w:t>
      </w:r>
      <w:r>
        <w:rPr>
          <w:b/>
        </w:rPr>
        <w:t>.</w:t>
      </w:r>
      <w:r w:rsidR="00267E7C" w:rsidRPr="000C3731">
        <w:rPr>
          <w:rFonts w:hint="eastAsia"/>
          <w:b/>
        </w:rPr>
        <w:t>国务院新闻办发表《中国应对气候变化的政策与行动》白皮书</w:t>
      </w:r>
    </w:p>
    <w:p w14:paraId="0A1A8B0F" w14:textId="77777777" w:rsidR="00267E7C" w:rsidRDefault="00267E7C" w:rsidP="00267E7C">
      <w:r>
        <w:t>10月27日，国务院新闻办发表《中国应对气候变化的政策与行动》白皮书。白皮书指出要提升新能源汽车和新能源的应用比例，全面推进高效节能、先进环保和资源循环利用产业体系建设，推动新能源汽车、新能源和节能环保产业快速壮大，积极推进统一的绿色产品认证与标识体系建设，增加绿色产品供给，积极培育绿色市场。</w:t>
      </w:r>
    </w:p>
    <w:p w14:paraId="654DD3C4" w14:textId="6ED70F3A" w:rsidR="00267E7C" w:rsidRPr="006D08B6" w:rsidRDefault="006D08B6" w:rsidP="006D08B6">
      <w:pPr>
        <w:outlineLvl w:val="1"/>
        <w:rPr>
          <w:b/>
        </w:rPr>
      </w:pPr>
      <w:r>
        <w:rPr>
          <w:rFonts w:hint="eastAsia"/>
          <w:b/>
        </w:rPr>
        <w:t>9</w:t>
      </w:r>
      <w:r>
        <w:rPr>
          <w:b/>
        </w:rPr>
        <w:t>.</w:t>
      </w:r>
      <w:r w:rsidR="00267E7C" w:rsidRPr="006D08B6">
        <w:rPr>
          <w:rFonts w:hint="eastAsia"/>
          <w:b/>
        </w:rPr>
        <w:t>力推这三类重卡</w:t>
      </w:r>
      <w:r w:rsidR="00267E7C" w:rsidRPr="006D08B6">
        <w:rPr>
          <w:b/>
        </w:rPr>
        <w:t>国务院碳达峰方案公布</w:t>
      </w:r>
    </w:p>
    <w:p w14:paraId="75C1F445" w14:textId="77777777" w:rsidR="00267E7C" w:rsidRDefault="00267E7C" w:rsidP="00267E7C">
      <w:r>
        <w:t>10月26日，国务院发布了《关于印发2030年前碳达峰行动方案的通知》。</w:t>
      </w:r>
      <w:r>
        <w:rPr>
          <w:rFonts w:hint="eastAsia"/>
        </w:rPr>
        <w:t>到</w:t>
      </w:r>
      <w:r>
        <w:t>2030年，当年新增新能源、清洁能源动力的交通工具比例达到40%左右，营运交通工具单位换算周转量碳排放强度比2020年下降9.5%左右，国家铁路单位换算周转量综合能耗比2020年下降10%。陆路交</w:t>
      </w:r>
      <w:r>
        <w:rPr>
          <w:rFonts w:hint="eastAsia"/>
        </w:rPr>
        <w:t>通运输石油消费力争</w:t>
      </w:r>
      <w:r>
        <w:t>2030年前达到峰值。</w:t>
      </w:r>
    </w:p>
    <w:p w14:paraId="1AEE42FE" w14:textId="2E2AAF9D" w:rsidR="00267E7C" w:rsidRPr="006D08B6" w:rsidRDefault="006D08B6" w:rsidP="006D08B6">
      <w:pPr>
        <w:outlineLvl w:val="1"/>
        <w:rPr>
          <w:b/>
        </w:rPr>
      </w:pPr>
      <w:r>
        <w:rPr>
          <w:rFonts w:hint="eastAsia"/>
          <w:b/>
        </w:rPr>
        <w:t>1</w:t>
      </w:r>
      <w:r>
        <w:rPr>
          <w:b/>
        </w:rPr>
        <w:t>0.</w:t>
      </w:r>
      <w:r w:rsidR="00267E7C" w:rsidRPr="006D08B6">
        <w:rPr>
          <w:b/>
        </w:rPr>
        <w:t>汽车数据安全红线不断强化</w:t>
      </w:r>
    </w:p>
    <w:p w14:paraId="5143CA4E" w14:textId="1634D4DA" w:rsidR="00267E7C" w:rsidRPr="006D08B6" w:rsidRDefault="00267E7C" w:rsidP="00267E7C">
      <w:r>
        <w:rPr>
          <w:rFonts w:hint="eastAsia"/>
        </w:rPr>
        <w:t>国家互联网信息办公室（以下简称“国家网信办”）、公安部等五部门联合发布《汽车数据安全管理若干规定（试行）》（以下简称《规定》），自</w:t>
      </w:r>
      <w:r>
        <w:t>10月1日起施行。这是工信部正式发布《关于加强智能网联汽车生产企业及产品准入管理的意见》一周后，相关部门出台的又一加强汽车数据管理的政策文件。《规定》明确提出，汽车数据处理者应当履行个人信息保护责任，充分保护个人信息安全和合法权益；开展个人信息处理活动，汽车数据处理者应当通过显著方式告知个人相关信息，取得个人同意或符合法律、行政法规规定的其他情形；处理敏感个人信息，汽车数据</w:t>
      </w:r>
      <w:r>
        <w:rPr>
          <w:rFonts w:hint="eastAsia"/>
        </w:rPr>
        <w:t>处理者还应当取得个人单独同意，满足限定处理目的、提示收集状态、终止收集等具体要求或符合法律、行政法规和强制性国家标准等其他要求。汽车数据处理者具有增强行车安全的目的和充分的必要性，方可收集指纹、声纹、人脸、心律等生物识别特征信息。</w:t>
      </w:r>
    </w:p>
    <w:p w14:paraId="30B503EE" w14:textId="2E829E08" w:rsidR="00267E7C" w:rsidRPr="006D08B6" w:rsidRDefault="006D08B6" w:rsidP="006D08B6">
      <w:pPr>
        <w:outlineLvl w:val="1"/>
        <w:rPr>
          <w:b/>
        </w:rPr>
      </w:pPr>
      <w:r>
        <w:rPr>
          <w:rFonts w:hint="eastAsia"/>
          <w:b/>
        </w:rPr>
        <w:t>1</w:t>
      </w:r>
      <w:r>
        <w:rPr>
          <w:b/>
        </w:rPr>
        <w:t>1.</w:t>
      </w:r>
      <w:r w:rsidR="00267E7C" w:rsidRPr="006D08B6">
        <w:rPr>
          <w:rFonts w:hint="eastAsia"/>
          <w:b/>
        </w:rPr>
        <w:t>商务部：三项工作促进二手车出口健康有序发展</w:t>
      </w:r>
    </w:p>
    <w:p w14:paraId="4A03548C" w14:textId="3E907D6E" w:rsidR="00267E7C" w:rsidRPr="006D08B6" w:rsidRDefault="00267E7C" w:rsidP="00267E7C">
      <w:r>
        <w:t>10月26日，《中国二手车出口国别指南（2021）》正式发布，商务部表示将会同有关部门着力做好三项工作：一是建标准，制定发布二手车出口质量行业标准，杜绝不合格二手车出口。研究制定全国统一的企业准入标准，建立动态考核退出机制。二是出政策，总结推广已开展二手车出口地方的好经验好做法，出台相关促进政策。三是树形象，继续编制发布《中国二手车出口国别指南》。</w:t>
      </w:r>
    </w:p>
    <w:p w14:paraId="378C59A0" w14:textId="03AFC75C" w:rsidR="00734824" w:rsidRDefault="006D08B6" w:rsidP="006D08B6">
      <w:pPr>
        <w:outlineLvl w:val="1"/>
      </w:pPr>
      <w:r>
        <w:rPr>
          <w:rFonts w:hint="eastAsia"/>
          <w:b/>
        </w:rPr>
        <w:t>1</w:t>
      </w:r>
      <w:r>
        <w:rPr>
          <w:b/>
        </w:rPr>
        <w:t>2.</w:t>
      </w:r>
      <w:r w:rsidR="00734824" w:rsidRPr="006D08B6">
        <w:rPr>
          <w:rFonts w:hint="eastAsia"/>
          <w:b/>
        </w:rPr>
        <w:t>统计局：前三季度全国规模以上工业企业利润同比增长</w:t>
      </w:r>
      <w:r w:rsidR="00734824" w:rsidRPr="006D08B6">
        <w:rPr>
          <w:b/>
        </w:rPr>
        <w:t>44.7%</w:t>
      </w:r>
    </w:p>
    <w:p w14:paraId="1E572F7C" w14:textId="77777777" w:rsidR="00734824" w:rsidRDefault="00734824" w:rsidP="0094218D">
      <w:r>
        <w:t>1-9月份，全国规模以上工业企业实现利润总额63,440.8亿元，同比增长44.7%，比2019年1-9月份增长41.2%，两年平均增长18.8%。</w:t>
      </w:r>
    </w:p>
    <w:p w14:paraId="11C57227" w14:textId="79E41018" w:rsidR="00734824" w:rsidRDefault="00734824" w:rsidP="0094218D">
      <w:pPr>
        <w:rPr>
          <w:rFonts w:cs="宋体"/>
          <w:b/>
          <w:bCs/>
          <w:i/>
          <w:iCs/>
        </w:rPr>
      </w:pPr>
    </w:p>
    <w:p w14:paraId="41F25B64" w14:textId="77777777" w:rsidR="0094218D" w:rsidRPr="002009FE" w:rsidRDefault="0094218D" w:rsidP="0094218D">
      <w:pPr>
        <w:pStyle w:val="a8"/>
        <w:numPr>
          <w:ilvl w:val="0"/>
          <w:numId w:val="4"/>
        </w:numPr>
        <w:ind w:firstLineChars="0"/>
        <w:outlineLvl w:val="0"/>
      </w:pPr>
      <w:r>
        <w:rPr>
          <w:rFonts w:cs="宋体" w:hint="eastAsia"/>
          <w:b/>
          <w:bCs/>
        </w:rPr>
        <w:t>企业信息</w:t>
      </w:r>
    </w:p>
    <w:p w14:paraId="517BCC9E" w14:textId="77777777" w:rsidR="00C9687F" w:rsidRPr="004C22BC" w:rsidRDefault="00C9687F" w:rsidP="0094218D">
      <w:pPr>
        <w:pStyle w:val="a8"/>
        <w:numPr>
          <w:ilvl w:val="3"/>
          <w:numId w:val="17"/>
        </w:numPr>
        <w:ind w:firstLineChars="0"/>
        <w:jc w:val="left"/>
        <w:outlineLvl w:val="1"/>
        <w:rPr>
          <w:b/>
        </w:rPr>
      </w:pPr>
      <w:r w:rsidRPr="004C22BC">
        <w:rPr>
          <w:b/>
        </w:rPr>
        <w:t>DS将继续在华销售车辆明年初公布新计划</w:t>
      </w:r>
    </w:p>
    <w:p w14:paraId="7A59089E" w14:textId="7E2FE3D9" w:rsidR="00C9687F" w:rsidRDefault="00C9687F" w:rsidP="0094218D">
      <w:r>
        <w:t>10月26日，全球第四大汽车制造商Stellantis旗下高端品牌DS总监BeatriceFoucher表示，DS将继续在中国市场销售汽车，并计划在明年年初发布全新计划，以提振销量。在这一点上（继续在华销售汽车），DS没有任何变化，将继续在中国进行业务。”</w:t>
      </w:r>
    </w:p>
    <w:p w14:paraId="1C550177" w14:textId="77777777" w:rsidR="00C9687F" w:rsidRPr="003161BD" w:rsidRDefault="00C9687F" w:rsidP="0094218D">
      <w:pPr>
        <w:pStyle w:val="a8"/>
        <w:numPr>
          <w:ilvl w:val="3"/>
          <w:numId w:val="17"/>
        </w:numPr>
        <w:ind w:firstLineChars="0"/>
        <w:jc w:val="left"/>
        <w:outlineLvl w:val="1"/>
        <w:rPr>
          <w:b/>
        </w:rPr>
      </w:pPr>
      <w:r w:rsidRPr="003161BD">
        <w:rPr>
          <w:b/>
        </w:rPr>
        <w:t>奥迪L4自动驾驶演示互联汽车成果亮相无锡</w:t>
      </w:r>
    </w:p>
    <w:p w14:paraId="0425F286" w14:textId="77777777" w:rsidR="00C9687F" w:rsidRDefault="00C9687F" w:rsidP="0094218D">
      <w:r>
        <w:t>奥迪携前沿智能互联汽车研发成果亮相在无锡举行的2021世界物联网博览会，并实现全球首次在公开道路融合V2X信号的L4自动驾驶演示。作为全球首个实现量产车型与智能交通信号灯联接的汽车品牌，奥迪在V2X领域再次实现全新里程碑。通过6.5公里自动驾驶路线上的13个应用场景，奥迪展示了V2X如何优化驾驶安全性、舒适度和交通流畅度。</w:t>
      </w:r>
    </w:p>
    <w:p w14:paraId="2640444B" w14:textId="77777777" w:rsidR="00C9687F" w:rsidRPr="00B456E6" w:rsidRDefault="00C9687F" w:rsidP="0094218D">
      <w:pPr>
        <w:pStyle w:val="a8"/>
        <w:numPr>
          <w:ilvl w:val="3"/>
          <w:numId w:val="17"/>
        </w:numPr>
        <w:ind w:firstLineChars="0"/>
        <w:jc w:val="left"/>
        <w:outlineLvl w:val="1"/>
        <w:rPr>
          <w:b/>
        </w:rPr>
      </w:pPr>
      <w:r w:rsidRPr="00B456E6">
        <w:rPr>
          <w:rFonts w:hint="eastAsia"/>
          <w:b/>
        </w:rPr>
        <w:t>百度联合广汽埃安发布</w:t>
      </w:r>
      <w:r w:rsidRPr="00B456E6">
        <w:rPr>
          <w:b/>
        </w:rPr>
        <w:t>ApolloMoon埃安版无人车</w:t>
      </w:r>
    </w:p>
    <w:p w14:paraId="0A88B2D0" w14:textId="77777777" w:rsidR="00C9687F" w:rsidRDefault="00C9687F" w:rsidP="0094218D">
      <w:r w:rsidRPr="002F2932">
        <w:t>10月26日，百度联合广汽埃安正式发布了ApolloMoon埃安版前装量产无人车，可做到L4级Robotaxi自动驾驶数据与L2+级辅助驾驶数据的共享。</w:t>
      </w:r>
    </w:p>
    <w:p w14:paraId="7B773A92" w14:textId="77777777" w:rsidR="00C9687F" w:rsidRDefault="00C9687F" w:rsidP="0094218D">
      <w:pPr>
        <w:pStyle w:val="a8"/>
        <w:numPr>
          <w:ilvl w:val="3"/>
          <w:numId w:val="17"/>
        </w:numPr>
        <w:ind w:firstLineChars="0"/>
        <w:jc w:val="left"/>
        <w:outlineLvl w:val="1"/>
      </w:pPr>
      <w:r w:rsidRPr="004C22BC">
        <w:rPr>
          <w:rFonts w:hint="eastAsia"/>
          <w:b/>
        </w:rPr>
        <w:t>百度汽车机器人亮相</w:t>
      </w:r>
      <w:r w:rsidRPr="004C22BC">
        <w:rPr>
          <w:b/>
        </w:rPr>
        <w:t>:L5级自动驾驶能力</w:t>
      </w:r>
    </w:p>
    <w:p w14:paraId="280EE156" w14:textId="77777777" w:rsidR="00C9687F" w:rsidRDefault="00C9687F" w:rsidP="0094218D">
      <w:r>
        <w:rPr>
          <w:rFonts w:hint="eastAsia"/>
        </w:rPr>
        <w:t>百度汽车机器人、飞桨一体机、昆仑芯片等亮相国家“十三五”科技创新成就展。</w:t>
      </w:r>
    </w:p>
    <w:p w14:paraId="5DE7621A" w14:textId="77777777" w:rsidR="00C9687F" w:rsidRDefault="00C9687F" w:rsidP="0094218D">
      <w:r>
        <w:rPr>
          <w:rFonts w:hint="eastAsia"/>
        </w:rPr>
        <w:t>由百度自主研发的汽车机器人，具有</w:t>
      </w:r>
      <w:r>
        <w:t>L5级自动驾驶能力。据介绍，汽车机器人在百度Apollo无人驾驶能力、5G云代驾能力、车路协同能力的基础上，可实现文字、语音、视觉甚至触觉等多模交互，并可以提供出行、视频会议、娱乐等全场景服务体验。</w:t>
      </w:r>
    </w:p>
    <w:p w14:paraId="5983B161" w14:textId="77777777" w:rsidR="00C9687F" w:rsidRPr="00A263D4" w:rsidRDefault="00C9687F" w:rsidP="0094218D">
      <w:pPr>
        <w:pStyle w:val="a8"/>
        <w:numPr>
          <w:ilvl w:val="3"/>
          <w:numId w:val="17"/>
        </w:numPr>
        <w:ind w:firstLineChars="0"/>
        <w:jc w:val="left"/>
        <w:outlineLvl w:val="1"/>
        <w:rPr>
          <w:b/>
        </w:rPr>
      </w:pPr>
      <w:r w:rsidRPr="00A263D4">
        <w:rPr>
          <w:rFonts w:hint="eastAsia"/>
          <w:b/>
        </w:rPr>
        <w:t>地平线宣布与上汽零束达成战略合作</w:t>
      </w:r>
    </w:p>
    <w:p w14:paraId="2C38AC7B" w14:textId="77777777" w:rsidR="00C9687F" w:rsidRDefault="00C9687F" w:rsidP="0094218D">
      <w:r>
        <w:rPr>
          <w:rFonts w:hint="eastAsia"/>
        </w:rPr>
        <w:t>地平线与上汽零束正式签署战略合作协议，双方将围绕零束“银河全栈</w:t>
      </w:r>
      <w:r>
        <w:t>3.0”智能汽车云端集成解决方案，在车载芯片、车载操作系统相关方面开展深入交流合作，共同探索全新一代汽车数字架构和智能驾驶计算平台解决方案。</w:t>
      </w:r>
    </w:p>
    <w:p w14:paraId="1D911C17" w14:textId="77777777" w:rsidR="00C9687F" w:rsidRPr="004616AB" w:rsidRDefault="00C9687F" w:rsidP="0094218D">
      <w:pPr>
        <w:pStyle w:val="a8"/>
        <w:numPr>
          <w:ilvl w:val="3"/>
          <w:numId w:val="17"/>
        </w:numPr>
        <w:ind w:firstLineChars="0"/>
        <w:jc w:val="left"/>
        <w:outlineLvl w:val="1"/>
        <w:rPr>
          <w:b/>
        </w:rPr>
      </w:pPr>
      <w:r w:rsidRPr="004616AB">
        <w:rPr>
          <w:rFonts w:hint="eastAsia"/>
          <w:b/>
        </w:rPr>
        <w:t>东风康明斯在襄阳新项目再落地</w:t>
      </w:r>
    </w:p>
    <w:p w14:paraId="62EF52A7" w14:textId="77777777" w:rsidR="00C9687F" w:rsidRDefault="00C9687F" w:rsidP="00D715D8">
      <w:r>
        <w:t>襄阳，</w:t>
      </w:r>
      <w:r>
        <w:rPr>
          <w:rFonts w:hint="eastAsia"/>
        </w:rPr>
        <w:t>，此次东风康明斯新增投资的重型发动机研发制造项目将在</w:t>
      </w:r>
      <w:r>
        <w:t>2021年启动，两年后竣工投产。项目计划新建一座现代化装配车间，建设重型发动机智能装配线(含装配、试验、喷涂、附装工艺)，可混流生产8L-15L柴油、天然气发动机等。同时，项目将改造现有L系列发动机机加工车间，建设重型发动机缸体、缸盖智能精加工制造线各一条。项目预计2023年产值可达数十亿元。项目全部达产后，五年内可实现产值近两百亿元。</w:t>
      </w:r>
    </w:p>
    <w:p w14:paraId="27179AE9" w14:textId="3627F1E9" w:rsidR="00C9687F" w:rsidRPr="00E175ED" w:rsidRDefault="00C9687F" w:rsidP="0094218D">
      <w:pPr>
        <w:pStyle w:val="a8"/>
        <w:numPr>
          <w:ilvl w:val="3"/>
          <w:numId w:val="17"/>
        </w:numPr>
        <w:ind w:firstLineChars="0"/>
        <w:jc w:val="left"/>
        <w:outlineLvl w:val="1"/>
        <w:rPr>
          <w:b/>
        </w:rPr>
      </w:pPr>
      <w:r w:rsidRPr="00E175ED">
        <w:rPr>
          <w:b/>
        </w:rPr>
        <w:t>小鹏科技日发布规划</w:t>
      </w:r>
      <w:r w:rsidR="00AC69B2" w:rsidRPr="00E175ED">
        <w:rPr>
          <w:rFonts w:hint="eastAsia"/>
          <w:b/>
        </w:rPr>
        <w:t>飞行汽车</w:t>
      </w:r>
      <w:r w:rsidR="00AC69B2" w:rsidRPr="00E175ED">
        <w:rPr>
          <w:b/>
        </w:rPr>
        <w:t>2024年量产</w:t>
      </w:r>
    </w:p>
    <w:p w14:paraId="4F9EAEFD" w14:textId="77777777" w:rsidR="00C9687F" w:rsidRDefault="00C9687F" w:rsidP="0094218D">
      <w:r>
        <w:t>10月24日，小鹏汽车“1024科技日”召开。在会议上小鹏表示，在超级补能方面，小鹏汽车将通过两方面实现全场景补能体系建设，即“超级充电+全面布局”；智能驾驶上，小鹏汽车将通过智能驾驶、全面教育、完善交互打造更具安全感的人机共驾体验；在机器人及飞行汽车上，下一代飞行汽车将兼顾汽车形态和飞机形态，并预计2024年量产且售价100万以内。</w:t>
      </w:r>
    </w:p>
    <w:p w14:paraId="052E032C" w14:textId="77777777" w:rsidR="00C9687F" w:rsidRPr="002819BA" w:rsidRDefault="00C9687F" w:rsidP="0094218D">
      <w:pPr>
        <w:pStyle w:val="a8"/>
        <w:numPr>
          <w:ilvl w:val="3"/>
          <w:numId w:val="17"/>
        </w:numPr>
        <w:ind w:firstLineChars="0"/>
        <w:jc w:val="left"/>
        <w:outlineLvl w:val="1"/>
        <w:rPr>
          <w:b/>
        </w:rPr>
      </w:pPr>
      <w:r w:rsidRPr="002819BA">
        <w:rPr>
          <w:rFonts w:hint="eastAsia"/>
          <w:b/>
        </w:rPr>
        <w:t>广汇汽车：第三季度净利下滑</w:t>
      </w:r>
      <w:r w:rsidRPr="002819BA">
        <w:rPr>
          <w:b/>
        </w:rPr>
        <w:t>85%芯片短缺致新车供应紧张</w:t>
      </w:r>
    </w:p>
    <w:p w14:paraId="513C57BF" w14:textId="77777777" w:rsidR="00C9687F" w:rsidRDefault="00C9687F" w:rsidP="0094218D">
      <w:r w:rsidRPr="000A33AD">
        <w:rPr>
          <w:rFonts w:hint="eastAsia"/>
        </w:rPr>
        <w:t>广汇汽车</w:t>
      </w:r>
      <w:r w:rsidRPr="000A33AD">
        <w:t>10月27日晚间披露三季报，公司2021年第三季度实现营业收入372.12亿元，同比下滑11.71%；净利润1.2亿元，同比下滑85.19%。公司前三季度净利润16.27亿元，同比增长24.03%。报告期内芯片短缺，新车供应紧张，新车销量同比下降，致使公司整体业务受到影响。</w:t>
      </w:r>
    </w:p>
    <w:p w14:paraId="5DA3D328" w14:textId="77777777" w:rsidR="00C9687F" w:rsidRPr="00B94E9E" w:rsidRDefault="00C9687F" w:rsidP="0094218D">
      <w:pPr>
        <w:pStyle w:val="a8"/>
        <w:numPr>
          <w:ilvl w:val="3"/>
          <w:numId w:val="17"/>
        </w:numPr>
        <w:ind w:firstLineChars="0"/>
        <w:jc w:val="left"/>
        <w:outlineLvl w:val="1"/>
        <w:rPr>
          <w:b/>
        </w:rPr>
      </w:pPr>
      <w:r w:rsidRPr="00B94E9E">
        <w:rPr>
          <w:rFonts w:hint="eastAsia"/>
          <w:b/>
        </w:rPr>
        <w:t>恒大宣布：</w:t>
      </w:r>
      <w:r w:rsidRPr="00B94E9E">
        <w:rPr>
          <w:b/>
        </w:rPr>
        <w:t>10年内转型新能源汽车产业</w:t>
      </w:r>
    </w:p>
    <w:p w14:paraId="70E88AE8" w14:textId="77777777" w:rsidR="00C9687F" w:rsidRDefault="00C9687F" w:rsidP="0094218D">
      <w:r w:rsidRPr="002F2932">
        <w:t>10月22日，许家印在恒大集团复工复产专题会上宣布了恒大化解风险自救的三大战略：一是坚定不移、全力以赴实现复工复产保交楼；二是全面实施现楼销售、大幅压降房地产开发建设规模；三是10年内实现由房地产业向新能源汽车产业的转型。</w:t>
      </w:r>
    </w:p>
    <w:p w14:paraId="5BA664A0" w14:textId="77777777" w:rsidR="00C9687F" w:rsidRDefault="00C9687F" w:rsidP="0094218D">
      <w:pPr>
        <w:pStyle w:val="a8"/>
        <w:numPr>
          <w:ilvl w:val="3"/>
          <w:numId w:val="17"/>
        </w:numPr>
        <w:ind w:firstLineChars="0"/>
        <w:jc w:val="left"/>
        <w:outlineLvl w:val="1"/>
      </w:pPr>
      <w:r w:rsidRPr="003161BD">
        <w:rPr>
          <w:b/>
        </w:rPr>
        <w:t>华为</w:t>
      </w:r>
      <w:r w:rsidRPr="003161BD">
        <w:rPr>
          <w:rFonts w:hint="eastAsia"/>
          <w:b/>
        </w:rPr>
        <w:t>与赛力斯合作</w:t>
      </w:r>
      <w:r w:rsidRPr="003161BD">
        <w:rPr>
          <w:b/>
        </w:rPr>
        <w:t>首款鸿蒙座舱汽车年底发布</w:t>
      </w:r>
    </w:p>
    <w:p w14:paraId="196F2FAF" w14:textId="77777777" w:rsidR="00C9687F" w:rsidRDefault="00C9687F" w:rsidP="0094218D">
      <w:r>
        <w:rPr>
          <w:rFonts w:hint="eastAsia"/>
        </w:rPr>
        <w:t>在华为开发者大会上，华为宣布首款鸿蒙</w:t>
      </w:r>
      <w:r>
        <w:t>HarmonyOS座舱汽车将于年底发布。</w:t>
      </w:r>
    </w:p>
    <w:p w14:paraId="59851315" w14:textId="77777777" w:rsidR="00C9687F" w:rsidRDefault="00C9687F" w:rsidP="0094218D">
      <w:r>
        <w:rPr>
          <w:rFonts w:hint="eastAsia"/>
        </w:rPr>
        <w:t>华为表示，全新</w:t>
      </w:r>
      <w:r>
        <w:t>HarmonyOS智能座舱，采用简洁高效的UI设计，生态共享。智能汽车新四化最重要的是智能化和网联化，HarmonyOS将让汽车的智能达到新的高度。鸿蒙新一代座舱系统集成了花瓣地图、畅连、华为音乐等华为自有应用，并且深入到非行驶的车辆控制之中。</w:t>
      </w:r>
    </w:p>
    <w:p w14:paraId="14D2EF47" w14:textId="77777777" w:rsidR="00C9687F" w:rsidRPr="004616AB" w:rsidRDefault="00C9687F" w:rsidP="0094218D">
      <w:pPr>
        <w:pStyle w:val="a8"/>
        <w:numPr>
          <w:ilvl w:val="3"/>
          <w:numId w:val="17"/>
        </w:numPr>
        <w:ind w:firstLineChars="0"/>
        <w:jc w:val="left"/>
        <w:outlineLvl w:val="1"/>
        <w:rPr>
          <w:b/>
        </w:rPr>
      </w:pPr>
      <w:r w:rsidRPr="004616AB">
        <w:rPr>
          <w:rFonts w:hint="eastAsia"/>
          <w:b/>
        </w:rPr>
        <w:t>开瑞汽车品牌焕新</w:t>
      </w:r>
      <w:r w:rsidRPr="004616AB">
        <w:rPr>
          <w:b/>
        </w:rPr>
        <w:t>赤兔平台产品发布</w:t>
      </w:r>
    </w:p>
    <w:p w14:paraId="7B3240BE" w14:textId="77777777" w:rsidR="00C9687F" w:rsidRDefault="00C9687F" w:rsidP="0094218D">
      <w:r>
        <w:t>10月27日，奇瑞商用车在河南开封举办了开瑞品牌焕新战略发布会，正式推出了开瑞品牌的全新价、全新形象和全新战略。同时，基于全新“赤兔”平台打造的全新微卡车型开瑞优越也于活动期间正式下线。</w:t>
      </w:r>
    </w:p>
    <w:p w14:paraId="51EAC3F1" w14:textId="77777777" w:rsidR="00C9687F" w:rsidRDefault="00C9687F" w:rsidP="0094218D">
      <w:r>
        <w:rPr>
          <w:rFonts w:hint="eastAsia"/>
        </w:rPr>
        <w:t>据了解，开瑞品牌焕新主要分为三个维度：全新价值、全新形象和全新战略。在价值方面，开瑞将倡导责任、奋斗、阳光的全新价值观；在形象方面，开瑞推出了全新品牌形象——关公；在战略方面，开瑞将实施全新的品牌战略——“创富</w:t>
      </w:r>
      <w:r>
        <w:t>+”。</w:t>
      </w:r>
    </w:p>
    <w:p w14:paraId="5F80B384" w14:textId="77777777" w:rsidR="00C9687F" w:rsidRPr="006E2FFC" w:rsidRDefault="00C9687F" w:rsidP="0094218D">
      <w:pPr>
        <w:pStyle w:val="a8"/>
        <w:numPr>
          <w:ilvl w:val="3"/>
          <w:numId w:val="17"/>
        </w:numPr>
        <w:ind w:firstLineChars="0"/>
        <w:jc w:val="left"/>
        <w:outlineLvl w:val="1"/>
        <w:rPr>
          <w:b/>
        </w:rPr>
      </w:pPr>
      <w:r w:rsidRPr="006E2FFC">
        <w:rPr>
          <w:rFonts w:hint="eastAsia"/>
          <w:b/>
        </w:rPr>
        <w:t>理想汽车第十万辆理想</w:t>
      </w:r>
      <w:r w:rsidRPr="006E2FFC">
        <w:rPr>
          <w:b/>
        </w:rPr>
        <w:t>ONE正式下线</w:t>
      </w:r>
    </w:p>
    <w:p w14:paraId="6773CA82" w14:textId="77777777" w:rsidR="00C9687F" w:rsidRDefault="00C9687F" w:rsidP="0094218D">
      <w:r>
        <w:t>2021年10月28日，第十万辆理想ONE在理想汽车常州基地正式下线，同时理想ONE也成为首个单款突破十万辆生产的造车新势力产品。</w:t>
      </w:r>
    </w:p>
    <w:p w14:paraId="602CCB38" w14:textId="77777777" w:rsidR="00C9687F" w:rsidRDefault="00C9687F" w:rsidP="0094218D">
      <w:r>
        <w:rPr>
          <w:rFonts w:hint="eastAsia"/>
        </w:rPr>
        <w:t>理想汽车方面表示，将会推出下一代增程电动平台</w:t>
      </w:r>
      <w:r>
        <w:t>X平台上的首款产品——全尺寸豪华增程式电动SUV，并于2023年在X平台上推出另外两款SUV。今年年内，理想汽车将通过OTA，正式向用户推送NOA导航辅助功能。</w:t>
      </w:r>
    </w:p>
    <w:p w14:paraId="26C41AD0" w14:textId="77777777" w:rsidR="00C9687F" w:rsidRPr="00804DEF" w:rsidRDefault="00C9687F" w:rsidP="0094218D">
      <w:pPr>
        <w:pStyle w:val="a8"/>
        <w:numPr>
          <w:ilvl w:val="3"/>
          <w:numId w:val="17"/>
        </w:numPr>
        <w:ind w:firstLineChars="0"/>
        <w:jc w:val="left"/>
        <w:outlineLvl w:val="1"/>
        <w:rPr>
          <w:b/>
        </w:rPr>
      </w:pPr>
      <w:r w:rsidRPr="00804DEF">
        <w:rPr>
          <w:rFonts w:hint="eastAsia"/>
          <w:b/>
        </w:rPr>
        <w:t>哪吒完成</w:t>
      </w:r>
      <w:r w:rsidRPr="00804DEF">
        <w:rPr>
          <w:b/>
        </w:rPr>
        <w:t>D1轮40亿元融资360集团领投20亿元</w:t>
      </w:r>
    </w:p>
    <w:p w14:paraId="4C455D7A" w14:textId="77777777" w:rsidR="00C9687F" w:rsidRDefault="00C9687F" w:rsidP="0094218D">
      <w:r>
        <w:rPr>
          <w:rFonts w:hint="eastAsia"/>
        </w:rPr>
        <w:t>哪吒汽车官方宣布完成</w:t>
      </w:r>
      <w:r>
        <w:t>D1轮40亿元融资。此次融资由360集团领投20亿元，建银国际、中信证券投资、申万宏源香港旗下新能源产业基金、吉富创投等多家知名投资机构跟投。据悉，360集团连续两轮投资总金额共计29亿元。</w:t>
      </w:r>
    </w:p>
    <w:p w14:paraId="0F343994" w14:textId="77777777" w:rsidR="00C9687F" w:rsidRPr="006A732A" w:rsidRDefault="00C9687F" w:rsidP="0094218D">
      <w:pPr>
        <w:pStyle w:val="a8"/>
        <w:numPr>
          <w:ilvl w:val="3"/>
          <w:numId w:val="17"/>
        </w:numPr>
        <w:ind w:firstLineChars="0"/>
        <w:jc w:val="left"/>
        <w:outlineLvl w:val="1"/>
        <w:rPr>
          <w:b/>
        </w:rPr>
      </w:pPr>
      <w:r w:rsidRPr="006A732A">
        <w:rPr>
          <w:rFonts w:hint="eastAsia"/>
          <w:b/>
        </w:rPr>
        <w:t>宁德时代电池生产制造基地项目奠基</w:t>
      </w:r>
    </w:p>
    <w:p w14:paraId="6191A274" w14:textId="77777777" w:rsidR="00C9687F" w:rsidRDefault="00C9687F" w:rsidP="0094218D">
      <w:r>
        <w:t>10月28日，由宁德时代投资建设的宜春时代新型锂离子电池生产制造基地项目在宜春经开区正式奠基，一期投资135亿元建设50GWh新型锂电池生产制造基地项目。</w:t>
      </w:r>
    </w:p>
    <w:p w14:paraId="10BD0E07" w14:textId="77777777" w:rsidR="00C9687F" w:rsidRPr="00E175ED" w:rsidRDefault="00C9687F" w:rsidP="0094218D">
      <w:pPr>
        <w:pStyle w:val="a8"/>
        <w:numPr>
          <w:ilvl w:val="3"/>
          <w:numId w:val="17"/>
        </w:numPr>
        <w:ind w:firstLineChars="0"/>
        <w:jc w:val="left"/>
        <w:outlineLvl w:val="1"/>
        <w:rPr>
          <w:b/>
        </w:rPr>
      </w:pPr>
      <w:r w:rsidRPr="00E175ED">
        <w:rPr>
          <w:rFonts w:hint="eastAsia"/>
          <w:b/>
        </w:rPr>
        <w:t>奇瑞新能源与酷哇打造</w:t>
      </w:r>
      <w:r w:rsidRPr="00E175ED">
        <w:rPr>
          <w:b/>
        </w:rPr>
        <w:t>L5级自动驾驶汽车</w:t>
      </w:r>
    </w:p>
    <w:p w14:paraId="3FCFD75E" w14:textId="77777777" w:rsidR="00C9687F" w:rsidRDefault="00C9687F" w:rsidP="0094218D">
      <w:r>
        <w:rPr>
          <w:rFonts w:hint="eastAsia"/>
        </w:rPr>
        <w:t>奇瑞新能源、酷哇机器人、芜湖经济技术开发区三方签署了战略合作协议，进一步深化合作关系。奇瑞新能源与酷哇机器人将联合开发自动驾驶汽车、</w:t>
      </w:r>
      <w:r>
        <w:t>Robotaxi自动驾驶出租车，并宣布启动自动驾驶商业运营示范。</w:t>
      </w:r>
    </w:p>
    <w:p w14:paraId="658777F3" w14:textId="77777777" w:rsidR="00C9687F" w:rsidRDefault="00C9687F" w:rsidP="0094218D">
      <w:pPr>
        <w:pStyle w:val="a8"/>
        <w:numPr>
          <w:ilvl w:val="3"/>
          <w:numId w:val="17"/>
        </w:numPr>
        <w:ind w:firstLineChars="0"/>
        <w:jc w:val="left"/>
        <w:outlineLvl w:val="1"/>
      </w:pPr>
      <w:r w:rsidRPr="00804DEF">
        <w:rPr>
          <w:rFonts w:hint="eastAsia"/>
          <w:b/>
        </w:rPr>
        <w:t>上汽中兴成立创新中心加快软件汽车落地</w:t>
      </w:r>
    </w:p>
    <w:p w14:paraId="19118184" w14:textId="77777777" w:rsidR="00C9687F" w:rsidRDefault="00C9687F" w:rsidP="0094218D">
      <w:r>
        <w:t>10月27日，上汽集团宣布旗下“科创小巨人”零束软件、联创电子与中兴通讯签署战略合作备忘录，瞄准汽车行业“电动智能网联”全新发展趋势，分别成立联合创新中心。</w:t>
      </w:r>
    </w:p>
    <w:p w14:paraId="2599BDEF" w14:textId="77777777" w:rsidR="00C9687F" w:rsidRPr="006A732A" w:rsidRDefault="00C9687F" w:rsidP="0094218D">
      <w:pPr>
        <w:pStyle w:val="a8"/>
        <w:numPr>
          <w:ilvl w:val="3"/>
          <w:numId w:val="17"/>
        </w:numPr>
        <w:ind w:firstLineChars="0"/>
        <w:jc w:val="left"/>
        <w:outlineLvl w:val="1"/>
        <w:rPr>
          <w:b/>
        </w:rPr>
      </w:pPr>
      <w:r w:rsidRPr="006A732A">
        <w:rPr>
          <w:rFonts w:hint="eastAsia"/>
          <w:b/>
        </w:rPr>
        <w:t>特斯拉北京公司新增二手车经销业务</w:t>
      </w:r>
    </w:p>
    <w:p w14:paraId="16182DAD" w14:textId="77777777" w:rsidR="00C9687F" w:rsidRDefault="00C9687F" w:rsidP="0094218D">
      <w:r>
        <w:rPr>
          <w:rFonts w:hint="eastAsia"/>
        </w:rPr>
        <w:t>特斯拉汽车（北京）有限公司发生工商变更，经营范围新增二手车经销。该公司成立于</w:t>
      </w:r>
      <w:r>
        <w:t>2012年11月，法定代表人为朱晓彤，注册资本200万美元，由特斯拉汽车香港有限公司全资控股。</w:t>
      </w:r>
    </w:p>
    <w:p w14:paraId="7D1508C8" w14:textId="77777777" w:rsidR="00C9687F" w:rsidRPr="006913C6" w:rsidRDefault="00C9687F" w:rsidP="0094218D">
      <w:pPr>
        <w:pStyle w:val="a8"/>
        <w:numPr>
          <w:ilvl w:val="3"/>
          <w:numId w:val="17"/>
        </w:numPr>
        <w:ind w:firstLineChars="0"/>
        <w:jc w:val="left"/>
        <w:outlineLvl w:val="1"/>
        <w:rPr>
          <w:b/>
        </w:rPr>
      </w:pPr>
      <w:r w:rsidRPr="006913C6">
        <w:rPr>
          <w:rFonts w:hint="eastAsia"/>
          <w:b/>
        </w:rPr>
        <w:t>特斯拉上海超级工厂数据中心建设落成</w:t>
      </w:r>
    </w:p>
    <w:p w14:paraId="2AFED71F" w14:textId="77777777" w:rsidR="00C9687F" w:rsidRDefault="00C9687F" w:rsidP="0094218D">
      <w:r>
        <w:rPr>
          <w:rFonts w:hint="eastAsia"/>
        </w:rPr>
        <w:t>特斯拉上海超级工厂数据中心建设落成，并于近期投入使用，同时建设落成的还有特斯拉上海研发创新中心。按照《上海市数据中心建设导则（</w:t>
      </w:r>
      <w:r>
        <w:t>2021版）》相关要求，特斯拉已经完成数据中心相关审批备案要求。特斯拉上海超级工厂数据中心用于存储工厂生产等中国运营数据，这意味着特斯拉在中国的生产、运营、用户等数据将不再“跨国”存储，凡是中国市场产生的数据，将全部在本地存储，打消了诸多敏感数据“出海”的安全顾虑。</w:t>
      </w:r>
    </w:p>
    <w:p w14:paraId="545A9FB1" w14:textId="77777777" w:rsidR="00C9687F" w:rsidRDefault="00C9687F" w:rsidP="0094218D">
      <w:pPr>
        <w:pStyle w:val="a8"/>
        <w:numPr>
          <w:ilvl w:val="3"/>
          <w:numId w:val="17"/>
        </w:numPr>
        <w:ind w:firstLineChars="0"/>
        <w:jc w:val="left"/>
        <w:outlineLvl w:val="1"/>
      </w:pPr>
      <w:r w:rsidRPr="00E175ED">
        <w:rPr>
          <w:rFonts w:hint="eastAsia"/>
          <w:b/>
        </w:rPr>
        <w:t>特斯拉室内最大交付中心开业</w:t>
      </w:r>
    </w:p>
    <w:p w14:paraId="33AD2F6E" w14:textId="77777777" w:rsidR="00C9687F" w:rsidRDefault="00C9687F" w:rsidP="0094218D">
      <w:r>
        <w:rPr>
          <w:rFonts w:hint="eastAsia"/>
        </w:rPr>
        <w:t>特斯拉全国单日交付体量最大的交付中心在上海市闵行区开业运行。闵行交付中心将填补特斯拉在闵行地区交付的空白，且是目前上海室内面积最大的交付中心，预计开业后将成为特斯拉国内单日可交付体量最高的交付中心。</w:t>
      </w:r>
    </w:p>
    <w:p w14:paraId="426EC9FD" w14:textId="77777777" w:rsidR="00C9687F" w:rsidRPr="00804DEF" w:rsidRDefault="00C9687F" w:rsidP="0094218D">
      <w:pPr>
        <w:pStyle w:val="a8"/>
        <w:numPr>
          <w:ilvl w:val="3"/>
          <w:numId w:val="17"/>
        </w:numPr>
        <w:ind w:firstLineChars="0"/>
        <w:jc w:val="left"/>
        <w:outlineLvl w:val="1"/>
        <w:rPr>
          <w:b/>
        </w:rPr>
      </w:pPr>
      <w:r w:rsidRPr="00804DEF">
        <w:rPr>
          <w:rFonts w:hint="eastAsia"/>
          <w:b/>
        </w:rPr>
        <w:t>蔚来计划</w:t>
      </w:r>
      <w:r w:rsidRPr="00804DEF">
        <w:rPr>
          <w:b/>
        </w:rPr>
        <w:t>2025年提供4,000个交换站</w:t>
      </w:r>
    </w:p>
    <w:p w14:paraId="2F47D018" w14:textId="77777777" w:rsidR="00C9687F" w:rsidRDefault="00C9687F" w:rsidP="0094218D">
      <w:r>
        <w:rPr>
          <w:rFonts w:hint="eastAsia"/>
        </w:rPr>
        <w:t>蔚来汽车和联盛能源签署一项协议，协议允许</w:t>
      </w:r>
      <w:r>
        <w:t>Unisun在所有NIOPowerSwapStation2.0上安装太阳能电池板。据CNEVPost称，这些站中的每一个都将有100千瓦输出；同时，蔚来计划到2025年拥有4,000个电池交换站，其中3,000个在中国。</w:t>
      </w:r>
    </w:p>
    <w:p w14:paraId="329B74E9" w14:textId="77777777" w:rsidR="00C9687F" w:rsidRPr="00F74DD4" w:rsidRDefault="00C9687F" w:rsidP="0094218D">
      <w:pPr>
        <w:pStyle w:val="a8"/>
        <w:numPr>
          <w:ilvl w:val="3"/>
          <w:numId w:val="17"/>
        </w:numPr>
        <w:ind w:firstLineChars="0"/>
        <w:jc w:val="left"/>
        <w:outlineLvl w:val="1"/>
        <w:rPr>
          <w:b/>
        </w:rPr>
      </w:pPr>
      <w:r w:rsidRPr="00F74DD4">
        <w:rPr>
          <w:rFonts w:hint="eastAsia"/>
          <w:b/>
        </w:rPr>
        <w:t>小鹏超充站贯通京沪</w:t>
      </w:r>
      <w:r w:rsidRPr="00F74DD4">
        <w:rPr>
          <w:b/>
        </w:rPr>
        <w:t>/京港澳高速充电路线</w:t>
      </w:r>
    </w:p>
    <w:p w14:paraId="10E0DB4D" w14:textId="77777777" w:rsidR="00C9687F" w:rsidRDefault="00C9687F" w:rsidP="0094218D">
      <w:r>
        <w:t>10月28日，小鹏汽车宣布用高速服务区超充站及高速路口5公里以内超充站共计30个，贯穿京沪、京港澳高速充电路线。小鹏汽车也成为国内首家跨越3500+公里，为鹏友打造“没有里程焦虑”充电路线的车企。</w:t>
      </w:r>
    </w:p>
    <w:p w14:paraId="1D49C57C" w14:textId="77777777" w:rsidR="00C9687F" w:rsidRPr="00B94E9E" w:rsidRDefault="00C9687F" w:rsidP="0094218D">
      <w:pPr>
        <w:pStyle w:val="a8"/>
        <w:numPr>
          <w:ilvl w:val="3"/>
          <w:numId w:val="17"/>
        </w:numPr>
        <w:ind w:firstLineChars="0"/>
        <w:jc w:val="left"/>
        <w:outlineLvl w:val="1"/>
        <w:rPr>
          <w:b/>
        </w:rPr>
      </w:pPr>
      <w:r w:rsidRPr="00B94E9E">
        <w:rPr>
          <w:rFonts w:hint="eastAsia"/>
          <w:b/>
        </w:rPr>
        <w:t>小鹏城市</w:t>
      </w:r>
      <w:r w:rsidRPr="00B94E9E">
        <w:rPr>
          <w:b/>
        </w:rPr>
        <w:t>NGP将于2022年H1在首批城市部分道路上线</w:t>
      </w:r>
    </w:p>
    <w:p w14:paraId="3229D57A" w14:textId="77777777" w:rsidR="00C9687F" w:rsidRDefault="00C9687F" w:rsidP="0094218D">
      <w:r w:rsidRPr="002F2932">
        <w:t>10月24日，小鹏汽车在肇庆举行的“小鹏汽车科技日”上宣布，城市NGP将于2022年上半年在首批城市的部分道路上线，但目前暂未公布首批城市名单。</w:t>
      </w:r>
    </w:p>
    <w:p w14:paraId="09EF8257" w14:textId="77777777" w:rsidR="00C9687F" w:rsidRDefault="00C9687F" w:rsidP="0094218D">
      <w:r w:rsidRPr="002F2932">
        <w:rPr>
          <w:rFonts w:hint="eastAsia"/>
        </w:rPr>
        <w:t>小鹏超充计划两年内覆盖主要县级市</w:t>
      </w:r>
    </w:p>
    <w:p w14:paraId="4467EEFD" w14:textId="77777777" w:rsidR="00C9687F" w:rsidRDefault="00C9687F" w:rsidP="0094218D">
      <w:r w:rsidRPr="002F2932">
        <w:t>10月24日，小鹏汽车在第三届“1024小鹏汽车科技日”上宣布，将推进车端、桩端、站端的超充技术升级。</w:t>
      </w:r>
    </w:p>
    <w:p w14:paraId="08D6612D" w14:textId="77777777" w:rsidR="00C9687F" w:rsidRPr="000E134A" w:rsidRDefault="00C9687F" w:rsidP="0094218D">
      <w:pPr>
        <w:pStyle w:val="a8"/>
        <w:numPr>
          <w:ilvl w:val="3"/>
          <w:numId w:val="17"/>
        </w:numPr>
        <w:ind w:firstLineChars="0"/>
        <w:jc w:val="left"/>
        <w:outlineLvl w:val="1"/>
        <w:rPr>
          <w:b/>
        </w:rPr>
      </w:pPr>
      <w:r w:rsidRPr="000E134A">
        <w:rPr>
          <w:rFonts w:hint="eastAsia"/>
          <w:b/>
        </w:rPr>
        <w:t>小鹏汽车将推出</w:t>
      </w:r>
      <w:r w:rsidRPr="000E134A">
        <w:rPr>
          <w:b/>
        </w:rPr>
        <w:t>800V+480kW超充+超级储能站</w:t>
      </w:r>
    </w:p>
    <w:p w14:paraId="235AA11D" w14:textId="77777777" w:rsidR="00C9687F" w:rsidRDefault="00C9687F" w:rsidP="0094218D">
      <w:r>
        <w:t>10月24日，在小鹏汽车“1024”活动日上，小鹏汽车CEO何小鹏预计2025年新能源汽车渗透率达到50%。</w:t>
      </w:r>
    </w:p>
    <w:p w14:paraId="66E39DFD" w14:textId="77777777" w:rsidR="00C9687F" w:rsidRDefault="00C9687F" w:rsidP="0094218D">
      <w:r>
        <w:rPr>
          <w:rFonts w:hint="eastAsia"/>
        </w:rPr>
        <w:t>何小鹏表示，小鹏汽车希望做到首个量产配置碳化硅芯片的</w:t>
      </w:r>
      <w:r>
        <w:t>800V高压平台，支持充电5分钟，续航200公里。同时，小鹏汽车也将推出配套的480kW高压超充桩。</w:t>
      </w:r>
    </w:p>
    <w:p w14:paraId="4530E58D" w14:textId="77777777" w:rsidR="00C9687F" w:rsidRDefault="00C9687F" w:rsidP="0094218D">
      <w:r>
        <w:rPr>
          <w:rFonts w:hint="eastAsia"/>
        </w:rPr>
        <w:t>小鹏汽车为用户设计的储能站可一次满足</w:t>
      </w:r>
      <w:r>
        <w:t>30辆车的超充。也就是说，小鹏汽车补能方面将推出800V+480kW超充+超级储能站的三种方案。</w:t>
      </w:r>
    </w:p>
    <w:p w14:paraId="489F04C9" w14:textId="77777777" w:rsidR="00C9687F" w:rsidRPr="00877911" w:rsidRDefault="00C9687F" w:rsidP="0094218D">
      <w:pPr>
        <w:pStyle w:val="a8"/>
        <w:numPr>
          <w:ilvl w:val="3"/>
          <w:numId w:val="17"/>
        </w:numPr>
        <w:ind w:firstLineChars="0"/>
        <w:jc w:val="left"/>
        <w:outlineLvl w:val="1"/>
        <w:rPr>
          <w:b/>
        </w:rPr>
      </w:pPr>
      <w:r w:rsidRPr="00877911">
        <w:rPr>
          <w:rFonts w:hint="eastAsia"/>
          <w:b/>
        </w:rPr>
        <w:t>长城汽车详解咖啡智能</w:t>
      </w:r>
      <w:r w:rsidRPr="00877911">
        <w:rPr>
          <w:b/>
        </w:rPr>
        <w:t>2.0智慧线控底盘</w:t>
      </w:r>
    </w:p>
    <w:p w14:paraId="17877A20" w14:textId="03D672DC" w:rsidR="00C9687F" w:rsidRDefault="00C9687F" w:rsidP="0094218D">
      <w:r w:rsidRPr="00D22E47">
        <w:t>10月28日，长城汽车咖啡智能2.0智慧线控底盘公开课线上开讲。长城汽车智慧线控底盘是以L4级及以上自动驾驶为目标搭建的技术平台，于今年6月发布，将于2023年实现量产。</w:t>
      </w:r>
    </w:p>
    <w:p w14:paraId="55011639" w14:textId="77777777" w:rsidR="006D08B6" w:rsidRDefault="006D08B6" w:rsidP="0094218D"/>
    <w:p w14:paraId="39C8ED62" w14:textId="77777777" w:rsidR="0094218D" w:rsidRPr="00D02F70" w:rsidRDefault="0094218D" w:rsidP="0094218D">
      <w:pPr>
        <w:pStyle w:val="a8"/>
        <w:numPr>
          <w:ilvl w:val="0"/>
          <w:numId w:val="4"/>
        </w:numPr>
        <w:ind w:firstLineChars="0"/>
        <w:outlineLvl w:val="0"/>
        <w:rPr>
          <w:b/>
        </w:rPr>
      </w:pPr>
      <w:r>
        <w:rPr>
          <w:rFonts w:hint="eastAsia"/>
          <w:b/>
        </w:rPr>
        <w:t>行业信息</w:t>
      </w:r>
    </w:p>
    <w:p w14:paraId="1075E7E1" w14:textId="77777777" w:rsidR="00842ADA" w:rsidRPr="00F74DD4" w:rsidRDefault="00842ADA" w:rsidP="00267E7C">
      <w:pPr>
        <w:pStyle w:val="a8"/>
        <w:numPr>
          <w:ilvl w:val="0"/>
          <w:numId w:val="23"/>
        </w:numPr>
        <w:ind w:firstLineChars="0"/>
        <w:outlineLvl w:val="1"/>
        <w:rPr>
          <w:b/>
        </w:rPr>
      </w:pPr>
      <w:r w:rsidRPr="00F74DD4">
        <w:rPr>
          <w:b/>
        </w:rPr>
        <w:t>9月车险保费下滑18.8%</w:t>
      </w:r>
    </w:p>
    <w:p w14:paraId="164D5518" w14:textId="77777777" w:rsidR="00842ADA" w:rsidRDefault="00842ADA" w:rsidP="0094218D">
      <w:r>
        <w:t>9月份，车险单月保费收入605亿元，同比下降18.79%，是车险综改实施以来下降幅度最大的一个月。而造成这一现象的原因，或许是源于车险综改即将实施之前，一股“车险综改风”吹起了行业冲业绩的号角。</w:t>
      </w:r>
    </w:p>
    <w:p w14:paraId="2FC62F98" w14:textId="77777777" w:rsidR="00842ADA" w:rsidRDefault="00842ADA" w:rsidP="0094218D">
      <w:r>
        <w:rPr>
          <w:rFonts w:hint="eastAsia"/>
        </w:rPr>
        <w:t>据悉，在车险综改正式实施前，关于车险综改后车险要“降价、增保、提质”的消息早已传开。为了收获综改前的最后一波“红利”，很多险企开启了冲业绩活动。为此，通过一系列操作，使得</w:t>
      </w:r>
      <w:r>
        <w:t>2020年9月份的车险保费基数很高。如果按照以上推测看，2021年9月，车险保费下滑幅度较大也并不意外。</w:t>
      </w:r>
    </w:p>
    <w:p w14:paraId="22E72FA3" w14:textId="77777777" w:rsidR="00842ADA" w:rsidRPr="00B64C63" w:rsidRDefault="00842ADA" w:rsidP="00267E7C">
      <w:pPr>
        <w:pStyle w:val="a8"/>
        <w:numPr>
          <w:ilvl w:val="0"/>
          <w:numId w:val="23"/>
        </w:numPr>
        <w:ind w:firstLineChars="0"/>
        <w:outlineLvl w:val="1"/>
        <w:rPr>
          <w:b/>
        </w:rPr>
      </w:pPr>
      <w:r w:rsidRPr="00B64C63">
        <w:rPr>
          <w:b/>
        </w:rPr>
        <w:t>9月网约车信息监管交互平台统计数据</w:t>
      </w:r>
    </w:p>
    <w:p w14:paraId="1A1B3411" w14:textId="77777777" w:rsidR="00842ADA" w:rsidRDefault="00842ADA" w:rsidP="0094218D">
      <w:r>
        <w:rPr>
          <w:rFonts w:hint="eastAsia"/>
        </w:rPr>
        <w:t>交通部公布数据，截至</w:t>
      </w:r>
      <w:r>
        <w:t>9月30日，全国共有248家网约车平台公司取得网约车平台经营许可，环比增加3家，各地共发放网约车驾驶员证359.5万本、车辆运输证141.8万本，环比分别增长2％、4.1％。全国网约车监管信息交互平台9月共收到订单信息64892.6万单，环比上升0.9％。</w:t>
      </w:r>
    </w:p>
    <w:p w14:paraId="20A93E54" w14:textId="77777777" w:rsidR="00842ADA" w:rsidRDefault="00842ADA" w:rsidP="0094218D">
      <w:r>
        <w:rPr>
          <w:rFonts w:hint="eastAsia"/>
        </w:rPr>
        <w:t>而在全国</w:t>
      </w:r>
      <w:r>
        <w:t>36个中心城市的合规排名中，订单合规率最高的是厦门，最低的是昆明。其中，厦门、广州、杭州、重庆、深圳、南宁、贵阳、郑州8个城市订单合规率均在80％以上。</w:t>
      </w:r>
    </w:p>
    <w:p w14:paraId="3AD72E1A" w14:textId="2AE12F5E" w:rsidR="00267E7C" w:rsidRPr="006D08B6" w:rsidRDefault="006D08B6" w:rsidP="006D08B6">
      <w:pPr>
        <w:jc w:val="left"/>
        <w:outlineLvl w:val="1"/>
        <w:rPr>
          <w:b/>
        </w:rPr>
      </w:pPr>
      <w:r>
        <w:rPr>
          <w:b/>
        </w:rPr>
        <w:t>3.</w:t>
      </w:r>
      <w:r w:rsidR="00267E7C" w:rsidRPr="006D08B6">
        <w:rPr>
          <w:b/>
        </w:rPr>
        <w:t>捷威动力长兴新能源电池项目开工</w:t>
      </w:r>
      <w:r w:rsidR="00267E7C" w:rsidRPr="006D08B6">
        <w:rPr>
          <w:rFonts w:hint="eastAsia"/>
          <w:b/>
        </w:rPr>
        <w:t>投资</w:t>
      </w:r>
      <w:r w:rsidR="00267E7C" w:rsidRPr="006D08B6">
        <w:rPr>
          <w:b/>
        </w:rPr>
        <w:t>67亿</w:t>
      </w:r>
    </w:p>
    <w:p w14:paraId="6C105EA7" w14:textId="77777777" w:rsidR="00267E7C" w:rsidRDefault="00267E7C" w:rsidP="00267E7C">
      <w:r>
        <w:t>10月23日，捷威动力位于湖州长兴的新能源电池生产基地项目正式开工建设。据悉，该项目总投资约67亿元，用地总面积约451亩，主要从事新能源电池生产，产品主要应用于储能与动力市场，项目建成达产后可形成18GWh的年产能，预计于2023年初投入使用。</w:t>
      </w:r>
    </w:p>
    <w:p w14:paraId="2CBD9D36" w14:textId="2B856567" w:rsidR="00267E7C" w:rsidRPr="006D08B6" w:rsidRDefault="006D08B6" w:rsidP="006D08B6">
      <w:pPr>
        <w:jc w:val="left"/>
        <w:outlineLvl w:val="1"/>
        <w:rPr>
          <w:b/>
        </w:rPr>
      </w:pPr>
      <w:r>
        <w:rPr>
          <w:rFonts w:hint="eastAsia"/>
          <w:b/>
        </w:rPr>
        <w:t>4</w:t>
      </w:r>
      <w:r>
        <w:rPr>
          <w:b/>
        </w:rPr>
        <w:t>.</w:t>
      </w:r>
      <w:r w:rsidR="00267E7C" w:rsidRPr="006D08B6">
        <w:rPr>
          <w:b/>
        </w:rPr>
        <w:t>宁德时代将授权现代摩比斯使用CTP技术</w:t>
      </w:r>
    </w:p>
    <w:p w14:paraId="0144F0CB" w14:textId="77777777" w:rsidR="00267E7C" w:rsidRDefault="00267E7C" w:rsidP="00267E7C">
      <w:r>
        <w:t>1</w:t>
      </w:r>
      <w:r w:rsidRPr="000A33AD">
        <w:t>0月27日，宁德时代新能源科技股份有限公司与现代摩比斯签署技术许可与合作意向协议。根据协议，宁德时代将授权摩比斯使用CTP（高效成组）技术，并支持摩比斯在韩国乃至全球范围内的CTP相关电池产品供应。据了解，宁德时代新型CTP电池包将电芯直接集成到电池包，由于省去了电池模组组装环节，较传统电池包相比，CTP电池包体积利用率提高了15%-20%，电池包零部件数量减少40%，生产效率提升了50%，大幅降低了动力电池的制造成本。</w:t>
      </w:r>
    </w:p>
    <w:p w14:paraId="56B537D7" w14:textId="476217AA" w:rsidR="00267E7C" w:rsidRPr="006D08B6" w:rsidRDefault="006D08B6" w:rsidP="006D08B6">
      <w:pPr>
        <w:jc w:val="left"/>
        <w:outlineLvl w:val="1"/>
        <w:rPr>
          <w:b/>
        </w:rPr>
      </w:pPr>
      <w:r>
        <w:rPr>
          <w:rFonts w:hint="eastAsia"/>
          <w:b/>
        </w:rPr>
        <w:t>5</w:t>
      </w:r>
      <w:r>
        <w:rPr>
          <w:b/>
        </w:rPr>
        <w:t>.</w:t>
      </w:r>
      <w:r w:rsidR="00267E7C" w:rsidRPr="006D08B6">
        <w:rPr>
          <w:rFonts w:hint="eastAsia"/>
          <w:b/>
        </w:rPr>
        <w:t>充电有道与快狗打车实现互联互通</w:t>
      </w:r>
    </w:p>
    <w:p w14:paraId="012C2932" w14:textId="77777777" w:rsidR="00267E7C" w:rsidRDefault="00267E7C" w:rsidP="00267E7C">
      <w:r>
        <w:rPr>
          <w:rFonts w:hint="eastAsia"/>
        </w:rPr>
        <w:t>深圳比亚迪电动汽车有限公司旗下平台“充电有道”宣布，与同城货运平台快狗打车已实现互联互通，即实现在快狗打车司机端平台可以进行充电服务体验。</w:t>
      </w:r>
    </w:p>
    <w:p w14:paraId="163520D5" w14:textId="77777777" w:rsidR="00267E7C" w:rsidRDefault="00267E7C" w:rsidP="00267E7C">
      <w:r>
        <w:rPr>
          <w:rFonts w:hint="eastAsia"/>
        </w:rPr>
        <w:t>据介绍，充电有道是深圳比亚迪电动汽车投资有限公司旗下品牌，致力于新能源汽车充电站的投资、开发和运营为一体的综合服务商。</w:t>
      </w:r>
    </w:p>
    <w:p w14:paraId="24FEB446" w14:textId="05036C9B" w:rsidR="00267E7C" w:rsidRPr="006D08B6" w:rsidRDefault="006D08B6" w:rsidP="006D08B6">
      <w:pPr>
        <w:jc w:val="left"/>
        <w:outlineLvl w:val="1"/>
        <w:rPr>
          <w:b/>
        </w:rPr>
      </w:pPr>
      <w:r>
        <w:rPr>
          <w:rFonts w:hint="eastAsia"/>
          <w:b/>
        </w:rPr>
        <w:t>6</w:t>
      </w:r>
      <w:r>
        <w:rPr>
          <w:b/>
        </w:rPr>
        <w:t>.</w:t>
      </w:r>
      <w:r w:rsidR="00267E7C" w:rsidRPr="006D08B6">
        <w:rPr>
          <w:rFonts w:hint="eastAsia"/>
          <w:b/>
        </w:rPr>
        <w:t>亿纬锂能签署</w:t>
      </w:r>
      <w:r w:rsidR="00267E7C" w:rsidRPr="006D08B6">
        <w:rPr>
          <w:b/>
        </w:rPr>
        <w:t>50GWh动力储能电池战略合作框架协议</w:t>
      </w:r>
    </w:p>
    <w:p w14:paraId="5A56A487" w14:textId="77777777" w:rsidR="00267E7C" w:rsidRDefault="00267E7C" w:rsidP="00267E7C">
      <w:r>
        <w:t>10月28日，亿纬锂能公告称，已与成都管委会签署《亿纬锂能50GWh动力储能电池项目战略合作框架协议》。</w:t>
      </w:r>
    </w:p>
    <w:p w14:paraId="10781713" w14:textId="70DEF153" w:rsidR="00842ADA" w:rsidRPr="006D08B6" w:rsidRDefault="006D08B6" w:rsidP="006D08B6">
      <w:pPr>
        <w:jc w:val="left"/>
        <w:outlineLvl w:val="1"/>
        <w:rPr>
          <w:b/>
        </w:rPr>
      </w:pPr>
      <w:r>
        <w:rPr>
          <w:b/>
        </w:rPr>
        <w:t>7.</w:t>
      </w:r>
      <w:r w:rsidR="00842ADA" w:rsidRPr="006D08B6">
        <w:rPr>
          <w:b/>
        </w:rPr>
        <w:t>OPPO推车机解决方案</w:t>
      </w:r>
      <w:r w:rsidR="00842ADA" w:rsidRPr="006D08B6">
        <w:rPr>
          <w:rFonts w:hint="eastAsia"/>
          <w:b/>
        </w:rPr>
        <w:t>预计落地</w:t>
      </w:r>
      <w:r w:rsidR="00842ADA" w:rsidRPr="006D08B6">
        <w:rPr>
          <w:b/>
        </w:rPr>
        <w:t>1,500万辆</w:t>
      </w:r>
    </w:p>
    <w:p w14:paraId="6A19EE0B" w14:textId="77777777" w:rsidR="00842ADA" w:rsidRDefault="00842ADA" w:rsidP="00842ADA">
      <w:r>
        <w:t>10月27日，OPPO软件工程事业部总裁吴恒刚在OPPO开发者大会上宣布，OPPO正式推出OPPO智行（OPPOCarlink）解决方案，将车机互融能力对外开放。据了解，OPPO的计划是，2022年预计落地1,500万辆车以上。</w:t>
      </w:r>
    </w:p>
    <w:p w14:paraId="20D7A54E" w14:textId="27988879" w:rsidR="00842ADA" w:rsidRDefault="006D08B6" w:rsidP="006D08B6">
      <w:pPr>
        <w:jc w:val="left"/>
        <w:outlineLvl w:val="1"/>
      </w:pPr>
      <w:r>
        <w:rPr>
          <w:b/>
        </w:rPr>
        <w:t>8.</w:t>
      </w:r>
      <w:r w:rsidR="00842ADA" w:rsidRPr="006D08B6">
        <w:rPr>
          <w:b/>
        </w:rPr>
        <w:t>T3出行完成A轮77亿元融资中信联合体领投</w:t>
      </w:r>
    </w:p>
    <w:p w14:paraId="0BED6AB2" w14:textId="77777777" w:rsidR="00842ADA" w:rsidRDefault="00842ADA" w:rsidP="00842ADA">
      <w:r w:rsidRPr="002F2932">
        <w:t>10月26日，T3出行宣布完成77亿元A轮融资，该轮融资由中信联合体领投。据悉，这是自2018年以来，网约车企业获得的国内最大额度单笔融资。此外，T3出行与中信投资控股签署战略合作协议，双方将共同打造智慧出行新生态圈。</w:t>
      </w:r>
    </w:p>
    <w:p w14:paraId="415FADA9" w14:textId="55911323" w:rsidR="00842ADA" w:rsidRPr="006D08B6" w:rsidRDefault="006D08B6" w:rsidP="006D08B6">
      <w:pPr>
        <w:jc w:val="left"/>
        <w:outlineLvl w:val="1"/>
        <w:rPr>
          <w:b/>
        </w:rPr>
      </w:pPr>
      <w:r>
        <w:rPr>
          <w:rFonts w:hint="eastAsia"/>
          <w:b/>
        </w:rPr>
        <w:t>9</w:t>
      </w:r>
      <w:r>
        <w:rPr>
          <w:b/>
        </w:rPr>
        <w:t>.</w:t>
      </w:r>
      <w:r w:rsidR="00842ADA" w:rsidRPr="006D08B6">
        <w:rPr>
          <w:rFonts w:hint="eastAsia"/>
          <w:b/>
        </w:rPr>
        <w:t>字节跳动成立汽车销售服务公司</w:t>
      </w:r>
    </w:p>
    <w:p w14:paraId="0E96033D" w14:textId="39980639" w:rsidR="00842ADA" w:rsidRDefault="00842ADA" w:rsidP="00842ADA">
      <w:r>
        <w:t>10月26日，字节跳动关联公司北京有竹居网络技术有限公司新增对外投资，新增投资企业为岳池千鹿优车汽车销售服务有限公司，投资比例100%。</w:t>
      </w:r>
    </w:p>
    <w:p w14:paraId="183390C0" w14:textId="77777777" w:rsidR="006D08B6" w:rsidRDefault="006D08B6" w:rsidP="00842ADA"/>
    <w:p w14:paraId="029B29DF" w14:textId="77777777" w:rsidR="0094218D" w:rsidRPr="00CC5738" w:rsidRDefault="0094218D" w:rsidP="0094218D">
      <w:pPr>
        <w:pStyle w:val="a8"/>
        <w:numPr>
          <w:ilvl w:val="0"/>
          <w:numId w:val="4"/>
        </w:numPr>
        <w:ind w:firstLineChars="0"/>
        <w:outlineLvl w:val="0"/>
        <w:rPr>
          <w:b/>
        </w:rPr>
      </w:pPr>
      <w:r w:rsidRPr="002009FE">
        <w:rPr>
          <w:rFonts w:cs="宋体" w:hint="eastAsia"/>
          <w:b/>
          <w:bCs/>
        </w:rPr>
        <w:t>跨国集团和国际市场</w:t>
      </w:r>
    </w:p>
    <w:p w14:paraId="41BAFCF5" w14:textId="77777777" w:rsidR="00842ADA" w:rsidRPr="007250C4" w:rsidRDefault="00842ADA" w:rsidP="0094218D">
      <w:pPr>
        <w:pStyle w:val="a8"/>
        <w:numPr>
          <w:ilvl w:val="0"/>
          <w:numId w:val="21"/>
        </w:numPr>
        <w:ind w:firstLineChars="0"/>
        <w:outlineLvl w:val="1"/>
        <w:rPr>
          <w:b/>
        </w:rPr>
      </w:pPr>
      <w:r w:rsidRPr="007250C4">
        <w:rPr>
          <w:b/>
        </w:rPr>
        <w:t>ACEA:2022年欧洲汽车产量将大大低于预期</w:t>
      </w:r>
    </w:p>
    <w:p w14:paraId="3D8708EA" w14:textId="77777777" w:rsidR="00842ADA" w:rsidRDefault="00842ADA" w:rsidP="0094218D">
      <w:r>
        <w:rPr>
          <w:rFonts w:hint="eastAsia"/>
        </w:rPr>
        <w:t>欧洲汽车制造商协会</w:t>
      </w:r>
      <w:r>
        <w:t>(ACEA)预计，全球芯片短缺将持续到2022年，可能导致欧洲汽车制造商们无法实现预期的产量。</w:t>
      </w:r>
    </w:p>
    <w:p w14:paraId="006DBE8C" w14:textId="77777777" w:rsidR="00842ADA" w:rsidRDefault="00842ADA" w:rsidP="0094218D">
      <w:r>
        <w:rPr>
          <w:rFonts w:hint="eastAsia"/>
        </w:rPr>
        <w:t>欧洲汽车行业本来有望摆脱去年“灾难性”的表现，但刚刚过去的</w:t>
      </w:r>
      <w:r>
        <w:t>9月，欧洲汽车销量创下26年来同期新低。全球零部件短缺导致生产线混乱，汽车供应商的新车库存也因此减少。</w:t>
      </w:r>
    </w:p>
    <w:p w14:paraId="0D33A38E" w14:textId="77777777" w:rsidR="00842ADA" w:rsidRDefault="00842ADA" w:rsidP="0094218D">
      <w:r>
        <w:rPr>
          <w:rFonts w:hint="eastAsia"/>
        </w:rPr>
        <w:t>欧洲汽车制造商协会在信中还呼吁欧洲采取行动，减少对亚洲芯片供应商的依赖，避免未来的供应链中断。</w:t>
      </w:r>
    </w:p>
    <w:p w14:paraId="1C1E0665" w14:textId="77777777" w:rsidR="00842ADA" w:rsidRPr="00B456E6" w:rsidRDefault="00842ADA" w:rsidP="0094218D">
      <w:pPr>
        <w:pStyle w:val="a8"/>
        <w:numPr>
          <w:ilvl w:val="0"/>
          <w:numId w:val="21"/>
        </w:numPr>
        <w:ind w:firstLineChars="0"/>
        <w:outlineLvl w:val="1"/>
        <w:rPr>
          <w:b/>
        </w:rPr>
      </w:pPr>
      <w:r w:rsidRPr="00B456E6">
        <w:rPr>
          <w:b/>
        </w:rPr>
        <w:t>Hertz10万辆订单助特斯拉市值破万亿美元</w:t>
      </w:r>
    </w:p>
    <w:p w14:paraId="46E80002" w14:textId="77777777" w:rsidR="00842ADA" w:rsidRDefault="00842ADA" w:rsidP="0094218D">
      <w:r>
        <w:t>全球最大的汽车租赁公司之一HerzGlobalHoldings,日前向特斯拉订购10万辆Model3轿车。</w:t>
      </w:r>
    </w:p>
    <w:p w14:paraId="4D552E78" w14:textId="77777777" w:rsidR="00842ADA" w:rsidRDefault="00842ADA" w:rsidP="0094218D">
      <w:r>
        <w:rPr>
          <w:rFonts w:hint="eastAsia"/>
        </w:rPr>
        <w:t>这笔总价达到约</w:t>
      </w:r>
      <w:r>
        <w:t>42亿美元的订单也成为电动汽车有史以来最大一笔交易，订购数量约为特斯拉截至2021年9月底年产能的10%。</w:t>
      </w:r>
    </w:p>
    <w:p w14:paraId="785DF51E" w14:textId="77777777" w:rsidR="00842ADA" w:rsidRPr="006A732A" w:rsidRDefault="00842ADA" w:rsidP="0094218D">
      <w:pPr>
        <w:pStyle w:val="a8"/>
        <w:numPr>
          <w:ilvl w:val="0"/>
          <w:numId w:val="21"/>
        </w:numPr>
        <w:ind w:firstLineChars="0"/>
        <w:outlineLvl w:val="1"/>
        <w:rPr>
          <w:b/>
        </w:rPr>
      </w:pPr>
      <w:r w:rsidRPr="006A732A">
        <w:rPr>
          <w:b/>
        </w:rPr>
        <w:t>SKI与SolidPower合作生产固态电池</w:t>
      </w:r>
    </w:p>
    <w:p w14:paraId="479186C5" w14:textId="77777777" w:rsidR="00842ADA" w:rsidRDefault="00842ADA" w:rsidP="0094218D">
      <w:r>
        <w:rPr>
          <w:rFonts w:hint="eastAsia"/>
        </w:rPr>
        <w:t>韩国电池制造商</w:t>
      </w:r>
      <w:r>
        <w:t>SKInnovation将向福特汽车支持的固态电池开发商SolidPower公司投资3,000万美元，联合生产车规级固态电池。SolidPower表示，SKInnovation将采用该公司的硫化物固态电解质、专利电池设计和生产工艺。SKInnovation则将会购买DecarbonizationPlusAcquisitionCorporationIII公司的股票。</w:t>
      </w:r>
    </w:p>
    <w:p w14:paraId="5E86238E" w14:textId="77777777" w:rsidR="00842ADA" w:rsidRPr="00BB525C" w:rsidRDefault="00842ADA" w:rsidP="0094218D">
      <w:pPr>
        <w:pStyle w:val="a8"/>
        <w:numPr>
          <w:ilvl w:val="0"/>
          <w:numId w:val="21"/>
        </w:numPr>
        <w:ind w:firstLineChars="0"/>
        <w:outlineLvl w:val="1"/>
        <w:rPr>
          <w:b/>
        </w:rPr>
      </w:pPr>
      <w:r w:rsidRPr="00BB525C">
        <w:rPr>
          <w:b/>
        </w:rPr>
        <w:t>Stellantis三季度损失60万辆车营收下滑14%</w:t>
      </w:r>
    </w:p>
    <w:p w14:paraId="5B0EEE27" w14:textId="77777777" w:rsidR="00842ADA" w:rsidRDefault="00842ADA" w:rsidP="0094218D">
      <w:r>
        <w:rPr>
          <w:rFonts w:hint="eastAsia"/>
        </w:rPr>
        <w:t>尽管由于芯片供应危机，</w:t>
      </w:r>
      <w:r>
        <w:t>Stellantis第三季度营收同比下滑14%，但是该公司仍保持全年营业利润率为10%的目标。</w:t>
      </w:r>
    </w:p>
    <w:p w14:paraId="66D339C3" w14:textId="77777777" w:rsidR="00842ADA" w:rsidRDefault="00842ADA" w:rsidP="0094218D">
      <w:r>
        <w:t>10月28日，Stellantis在一份声明中表示，第三季度营收为3260万欧元(约合3780万美元)。汽车交付量为113.1万辆，同比下降27%。</w:t>
      </w:r>
    </w:p>
    <w:p w14:paraId="505BE7BF" w14:textId="77777777" w:rsidR="00842ADA" w:rsidRDefault="00842ADA" w:rsidP="0094218D">
      <w:r>
        <w:rPr>
          <w:rFonts w:hint="eastAsia"/>
        </w:rPr>
        <w:t>与大多数汽车制造商一样，由于缺乏车用半导体，</w:t>
      </w:r>
      <w:r>
        <w:t>Stellantis被迫在第三季度暂停了一些工厂的生产线。该公司在第三季度损失了原计划30%的产量，即60万辆汽车。</w:t>
      </w:r>
    </w:p>
    <w:p w14:paraId="6EDAD3B1" w14:textId="77777777" w:rsidR="00842ADA" w:rsidRPr="007250C4" w:rsidRDefault="00842ADA" w:rsidP="0094218D">
      <w:pPr>
        <w:pStyle w:val="a8"/>
        <w:numPr>
          <w:ilvl w:val="0"/>
          <w:numId w:val="21"/>
        </w:numPr>
        <w:ind w:firstLineChars="0"/>
        <w:outlineLvl w:val="1"/>
        <w:rPr>
          <w:b/>
        </w:rPr>
      </w:pPr>
      <w:r w:rsidRPr="007250C4">
        <w:rPr>
          <w:b/>
        </w:rPr>
        <w:t>Stellantis与三星组建合资公司为北美生产电池</w:t>
      </w:r>
    </w:p>
    <w:p w14:paraId="5BF828DB" w14:textId="77777777" w:rsidR="00842ADA" w:rsidRDefault="00842ADA" w:rsidP="0094218D">
      <w:r w:rsidRPr="00B44237">
        <w:t>10月26日，Stellantis集团首席执行官唐唯实和三星集团总裁兼首席执行官Young-hyunJun共同参观了三星集团位于匈牙利Goed的电动汽车工厂，两家集团也于当天签署了共同组建一家合资公司的谅解备忘录，该合资公司将为北美市场生产电池电芯及电池模块。本次签约标志着两家集团之间形成了全新的长期战略合作伙伴关系。</w:t>
      </w:r>
    </w:p>
    <w:p w14:paraId="087CBED0" w14:textId="77777777" w:rsidR="00842ADA" w:rsidRPr="00F74DD4" w:rsidRDefault="00842ADA" w:rsidP="0094218D">
      <w:pPr>
        <w:pStyle w:val="a8"/>
        <w:numPr>
          <w:ilvl w:val="0"/>
          <w:numId w:val="21"/>
        </w:numPr>
        <w:ind w:firstLineChars="0"/>
        <w:outlineLvl w:val="1"/>
        <w:rPr>
          <w:b/>
        </w:rPr>
      </w:pPr>
      <w:r w:rsidRPr="00F74DD4">
        <w:rPr>
          <w:rFonts w:hint="eastAsia"/>
          <w:b/>
        </w:rPr>
        <w:t>宝马集团启动年内第三次大规模远程软件升级</w:t>
      </w:r>
    </w:p>
    <w:p w14:paraId="34B0E471" w14:textId="77777777" w:rsidR="00842ADA" w:rsidRDefault="00842ADA" w:rsidP="0094218D">
      <w:r>
        <w:t>10月27日，宝马集团宣布启动今年第三次，也是迄今为止规模和范围最大的一次大规模远程软件升级。全球约200万辆BMW汽车可通过OTA的方式升级，涵盖新BMW3系、新BMW5系、全新BMWM3和全新BMWM4在内的20多款车型，涉及燃油车和插电式混合动力的驱动形式。</w:t>
      </w:r>
    </w:p>
    <w:p w14:paraId="70137499" w14:textId="77777777" w:rsidR="00842ADA" w:rsidRPr="002819BA" w:rsidRDefault="00842ADA" w:rsidP="0094218D">
      <w:pPr>
        <w:pStyle w:val="a8"/>
        <w:numPr>
          <w:ilvl w:val="0"/>
          <w:numId w:val="21"/>
        </w:numPr>
        <w:ind w:firstLineChars="0"/>
        <w:outlineLvl w:val="1"/>
        <w:rPr>
          <w:b/>
        </w:rPr>
      </w:pPr>
      <w:r w:rsidRPr="002819BA">
        <w:rPr>
          <w:rFonts w:hint="eastAsia"/>
          <w:b/>
        </w:rPr>
        <w:t>博世计划投资</w:t>
      </w:r>
      <w:r w:rsidRPr="002819BA">
        <w:rPr>
          <w:b/>
        </w:rPr>
        <w:t>4亿欧元提升芯片产能</w:t>
      </w:r>
    </w:p>
    <w:p w14:paraId="356D032D" w14:textId="77777777" w:rsidR="00842ADA" w:rsidRDefault="00842ADA" w:rsidP="0094218D">
      <w:r w:rsidRPr="002810A1">
        <w:t>博世宣布将在2022年投资4亿欧元扩大德国芯片工厂产能，并在马来西亚槟城州建立芯片测试中心。</w:t>
      </w:r>
    </w:p>
    <w:p w14:paraId="02A7EC19" w14:textId="77777777" w:rsidR="00842ADA" w:rsidRPr="00916758" w:rsidRDefault="00842ADA" w:rsidP="0094218D">
      <w:pPr>
        <w:pStyle w:val="a8"/>
        <w:numPr>
          <w:ilvl w:val="0"/>
          <w:numId w:val="21"/>
        </w:numPr>
        <w:ind w:firstLineChars="0"/>
        <w:outlineLvl w:val="1"/>
        <w:rPr>
          <w:b/>
        </w:rPr>
      </w:pPr>
      <w:r w:rsidRPr="00916758">
        <w:rPr>
          <w:rFonts w:hint="eastAsia"/>
          <w:b/>
        </w:rPr>
        <w:t>传英特尔或在意大利建芯片封装厂</w:t>
      </w:r>
    </w:p>
    <w:p w14:paraId="7F193825" w14:textId="77777777" w:rsidR="00842ADA" w:rsidRDefault="00842ADA" w:rsidP="0094218D">
      <w:r>
        <w:rPr>
          <w:rFonts w:hint="eastAsia"/>
        </w:rPr>
        <w:t>三位知情人士透露，意大利政府正在起草一份邀约，希望能说服英特尔在意大利投资数十亿欧元，建立一家先进的芯片封装工厂。</w:t>
      </w:r>
    </w:p>
    <w:p w14:paraId="058BE513" w14:textId="77777777" w:rsidR="00842ADA" w:rsidRDefault="00842ADA" w:rsidP="0094218D">
      <w:r>
        <w:rPr>
          <w:rFonts w:hint="eastAsia"/>
        </w:rPr>
        <w:t>英特尔公司预计未来</w:t>
      </w:r>
      <w:r>
        <w:t>10年将在欧洲投资800亿欧元。9月，英特尔首席执行官PatGelsinger表示，英特尔计划在欧洲建造一座芯片超级工厂和芯片封装工厂，正与欧洲几个国家谈判，这两家工厂的选址将在今年年底决定。目前，欧洲各国正积极争取英特尔这两个建厂项目，其中，德国当前最有希望获得芯片超级工厂这个项目。</w:t>
      </w:r>
    </w:p>
    <w:p w14:paraId="3B854E84" w14:textId="77777777" w:rsidR="00842ADA" w:rsidRPr="00BB525C" w:rsidRDefault="00842ADA" w:rsidP="0094218D">
      <w:pPr>
        <w:pStyle w:val="a8"/>
        <w:numPr>
          <w:ilvl w:val="0"/>
          <w:numId w:val="21"/>
        </w:numPr>
        <w:ind w:firstLineChars="0"/>
        <w:outlineLvl w:val="1"/>
        <w:rPr>
          <w:b/>
        </w:rPr>
      </w:pPr>
      <w:r w:rsidRPr="00BB525C">
        <w:rPr>
          <w:rFonts w:hint="eastAsia"/>
          <w:b/>
        </w:rPr>
        <w:t>德国汽车协会预计</w:t>
      </w:r>
      <w:r w:rsidRPr="00BB525C">
        <w:rPr>
          <w:b/>
        </w:rPr>
        <w:t>2021年产量同比锐减18%</w:t>
      </w:r>
    </w:p>
    <w:p w14:paraId="250105DF" w14:textId="23E8F378" w:rsidR="00842ADA" w:rsidRPr="006D08B6" w:rsidRDefault="00842ADA" w:rsidP="0094218D">
      <w:r w:rsidRPr="00B44237">
        <w:rPr>
          <w:rFonts w:hint="eastAsia"/>
        </w:rPr>
        <w:t>德国汽车工业协会（</w:t>
      </w:r>
      <w:r w:rsidRPr="00B44237">
        <w:t>VDA）当地时间10月5日宣布，今年德国全年汽车产量预计只有290万辆，比前一年大幅减少了18%。此前德国汽车工业协会曾乐观估计，今年汽车产量可能会比受疫情影响的去年小幅增加3%。分析认为，今年德国汽车产量锐减主要是由于汽车芯片供应不足造成的。</w:t>
      </w:r>
    </w:p>
    <w:p w14:paraId="334AF5A2" w14:textId="77777777" w:rsidR="00842ADA" w:rsidRPr="00783A95" w:rsidRDefault="00842ADA" w:rsidP="0094218D">
      <w:pPr>
        <w:pStyle w:val="a8"/>
        <w:numPr>
          <w:ilvl w:val="0"/>
          <w:numId w:val="21"/>
        </w:numPr>
        <w:ind w:firstLineChars="0"/>
        <w:outlineLvl w:val="1"/>
        <w:rPr>
          <w:b/>
        </w:rPr>
      </w:pPr>
      <w:r w:rsidRPr="00783A95">
        <w:rPr>
          <w:rFonts w:hint="eastAsia"/>
          <w:b/>
        </w:rPr>
        <w:t>电动车占欧盟第三季度销量近</w:t>
      </w:r>
      <w:r w:rsidRPr="00783A95">
        <w:rPr>
          <w:b/>
        </w:rPr>
        <w:t>20%</w:t>
      </w:r>
    </w:p>
    <w:p w14:paraId="5DBE157A" w14:textId="77777777" w:rsidR="00842ADA" w:rsidRDefault="00842ADA" w:rsidP="0094218D">
      <w:r>
        <w:rPr>
          <w:rFonts w:hint="eastAsia"/>
        </w:rPr>
        <w:t>欧洲汽车制造商协会</w:t>
      </w:r>
      <w:r>
        <w:t>(ACEA)发布的汽车销量数据显示，纯电动汽车和插电式混合动力汽车在欧盟第三季度汽车销量中的占比略低于19%。这意味着，汽车制造商第三季度在欧盟售出的汽车中，近五分之一是电动汽车。在内燃机汽车销量下滑的同时，电动汽车销量继续飙升。</w:t>
      </w:r>
    </w:p>
    <w:p w14:paraId="604ACA0D" w14:textId="77777777" w:rsidR="00842ADA" w:rsidRDefault="00842ADA" w:rsidP="0094218D">
      <w:r>
        <w:rPr>
          <w:rFonts w:hint="eastAsia"/>
        </w:rPr>
        <w:t>第三季度，欧盟纯电动汽车销量超</w:t>
      </w:r>
      <w:r>
        <w:t>21.2万辆，跃升近57%；插电式混合动力汽车销量超过19.7万辆，增长近43%。这一增长速度低于2020年，当时销量从较低的基数几乎增长了两倍。</w:t>
      </w:r>
    </w:p>
    <w:p w14:paraId="2C821B02" w14:textId="77777777" w:rsidR="00842ADA" w:rsidRPr="00EF3302" w:rsidRDefault="00842ADA" w:rsidP="0094218D">
      <w:pPr>
        <w:pStyle w:val="a8"/>
        <w:numPr>
          <w:ilvl w:val="0"/>
          <w:numId w:val="21"/>
        </w:numPr>
        <w:ind w:firstLineChars="0"/>
        <w:outlineLvl w:val="1"/>
        <w:rPr>
          <w:b/>
        </w:rPr>
      </w:pPr>
      <w:r w:rsidRPr="00EF3302">
        <w:rPr>
          <w:rFonts w:hint="eastAsia"/>
          <w:b/>
        </w:rPr>
        <w:t>法国将电动汽车激励措施延长至</w:t>
      </w:r>
      <w:r w:rsidRPr="00EF3302">
        <w:rPr>
          <w:b/>
        </w:rPr>
        <w:t>2022年7月</w:t>
      </w:r>
    </w:p>
    <w:p w14:paraId="1652E60F" w14:textId="77777777" w:rsidR="00842ADA" w:rsidRDefault="00842ADA" w:rsidP="0094218D">
      <w:r>
        <w:rPr>
          <w:rFonts w:hint="eastAsia"/>
        </w:rPr>
        <w:t>法国宣布将对购买新纯电动或插电式混合动力汽车的奖励措施延长至</w:t>
      </w:r>
      <w:r>
        <w:t>2022年7月，并且为对环境友好的新车和二手车提供换购补贴。</w:t>
      </w:r>
    </w:p>
    <w:p w14:paraId="0550881F" w14:textId="77777777" w:rsidR="00842ADA" w:rsidRDefault="00842ADA" w:rsidP="0094218D">
      <w:r>
        <w:rPr>
          <w:rFonts w:hint="eastAsia"/>
        </w:rPr>
        <w:t>对于购买售价在</w:t>
      </w:r>
      <w:r>
        <w:t>4.5万欧元以下的纯电动汽车的个人消费者，法国政府将提供6,000欧元的补贴，企业客户的补贴金额为4,000欧元。如果车辆的价格在4.5万至6万欧元之间，补贴金额为2,000欧元。纯电动商用车可以享受更高的补贴，私人买家为7,000欧元，企业买家为5,000欧元。插电式混合动力汽车可以获得1,000欧元的补贴。</w:t>
      </w:r>
    </w:p>
    <w:p w14:paraId="1D737576" w14:textId="77777777" w:rsidR="00842ADA" w:rsidRPr="00783A95" w:rsidRDefault="00842ADA" w:rsidP="0094218D">
      <w:pPr>
        <w:pStyle w:val="a8"/>
        <w:numPr>
          <w:ilvl w:val="0"/>
          <w:numId w:val="21"/>
        </w:numPr>
        <w:ind w:firstLineChars="0"/>
        <w:outlineLvl w:val="1"/>
        <w:rPr>
          <w:b/>
        </w:rPr>
      </w:pPr>
      <w:r w:rsidRPr="00783A95">
        <w:rPr>
          <w:rFonts w:hint="eastAsia"/>
          <w:b/>
        </w:rPr>
        <w:t>加拿大</w:t>
      </w:r>
      <w:r w:rsidRPr="00783A95">
        <w:rPr>
          <w:b/>
        </w:rPr>
        <w:t>:美国电动汽车议案将损害北美汽车业</w:t>
      </w:r>
    </w:p>
    <w:p w14:paraId="716DFBC4" w14:textId="77777777" w:rsidR="00842ADA" w:rsidRDefault="00842ADA" w:rsidP="0094218D">
      <w:r>
        <w:rPr>
          <w:rFonts w:hint="eastAsia"/>
        </w:rPr>
        <w:t>加拿大政府官员警告称，美国政府计划为美国产电动汽车提供税收抵免的议案可能会损害北美汽车行业，并违反贸易协定。</w:t>
      </w:r>
    </w:p>
    <w:p w14:paraId="23608E7C" w14:textId="77777777" w:rsidR="00842ADA" w:rsidRDefault="00842ADA" w:rsidP="0094218D">
      <w:r>
        <w:rPr>
          <w:rFonts w:hint="eastAsia"/>
        </w:rPr>
        <w:t>在</w:t>
      </w:r>
      <w:r>
        <w:t>10月22日的一封信件中，加拿大贸易部长MaryNg告诉美国国会议员和拜登政府，如果该方案获得批准，“未来将对加拿大电动汽车行业和汽车生产产生重大负面影响”。</w:t>
      </w:r>
    </w:p>
    <w:p w14:paraId="1BA58E6C" w14:textId="77777777" w:rsidR="00842ADA" w:rsidRPr="00783A95" w:rsidRDefault="00842ADA" w:rsidP="0094218D">
      <w:pPr>
        <w:pStyle w:val="a8"/>
        <w:numPr>
          <w:ilvl w:val="0"/>
          <w:numId w:val="21"/>
        </w:numPr>
        <w:ind w:firstLineChars="0"/>
        <w:outlineLvl w:val="1"/>
        <w:rPr>
          <w:b/>
        </w:rPr>
      </w:pPr>
      <w:r w:rsidRPr="00783A95">
        <w:rPr>
          <w:rFonts w:hint="eastAsia"/>
          <w:b/>
        </w:rPr>
        <w:t>雷诺</w:t>
      </w:r>
      <w:r w:rsidRPr="00783A95">
        <w:rPr>
          <w:b/>
        </w:rPr>
        <w:t>Q3营收下降13.4%今年或减产50万辆</w:t>
      </w:r>
    </w:p>
    <w:p w14:paraId="395593D6" w14:textId="77777777" w:rsidR="00842ADA" w:rsidRDefault="00842ADA" w:rsidP="0094218D">
      <w:r>
        <w:t>10月22日，法国汽车制造商雷诺公布第三季度财报。雷诺表示，由于全球半导体短缺，今年该公司将削减近50万辆汽车的生产，是9月初预期(22万辆)的两倍以上。本周初，就有知情人士透露，雷诺今年损失的产量将远高于此前预期，不过由于汽车定价高和成本削减措施，雷诺称仍能维持预期的盈利前景。</w:t>
      </w:r>
    </w:p>
    <w:p w14:paraId="231540FA" w14:textId="77777777" w:rsidR="00842ADA" w:rsidRDefault="00842ADA" w:rsidP="0094218D">
      <w:r>
        <w:rPr>
          <w:rFonts w:hint="eastAsia"/>
        </w:rPr>
        <w:t>雷诺表示，由于汽车价格上涨抵消了全球销量</w:t>
      </w:r>
      <w:r>
        <w:t>22.3%的降幅，该公司第三季度营收从去年同期的103.7亿欧元降至89.8亿欧元(合104亿美元)，同比下降了13.4%。</w:t>
      </w:r>
    </w:p>
    <w:p w14:paraId="6B12308E" w14:textId="77777777" w:rsidR="00842ADA" w:rsidRPr="002819BA" w:rsidRDefault="00842ADA" w:rsidP="0094218D">
      <w:pPr>
        <w:pStyle w:val="a8"/>
        <w:numPr>
          <w:ilvl w:val="0"/>
          <w:numId w:val="21"/>
        </w:numPr>
        <w:ind w:firstLineChars="0"/>
        <w:outlineLvl w:val="1"/>
        <w:rPr>
          <w:b/>
        </w:rPr>
      </w:pPr>
      <w:r w:rsidRPr="002819BA">
        <w:rPr>
          <w:rFonts w:hint="eastAsia"/>
          <w:b/>
        </w:rPr>
        <w:t>路透：印度计划游说特斯拉、三星和</w:t>
      </w:r>
      <w:r w:rsidRPr="002819BA">
        <w:rPr>
          <w:b/>
        </w:rPr>
        <w:t>LG能源等，鼓励其投资在当地生产电池</w:t>
      </w:r>
    </w:p>
    <w:p w14:paraId="02E2F5E4" w14:textId="3AD11624" w:rsidR="00842ADA" w:rsidRDefault="00842ADA">
      <w:r w:rsidRPr="000A33AD">
        <w:rPr>
          <w:rFonts w:hint="eastAsia"/>
        </w:rPr>
        <w:t>印度计划游说特斯拉、三星和</w:t>
      </w:r>
      <w:r w:rsidRPr="000A33AD">
        <w:t>LG能源等公司，鼓励它们投资在当地生产电池，该国正寻求建立清洁运输的国内供应链。据透露，从下个月开始，印度将在美国、德国、法国、韩国和日本等国举办五场路演，以游说电池制造商在当地生产。</w:t>
      </w:r>
    </w:p>
    <w:p w14:paraId="57FFE18D" w14:textId="77777777" w:rsidR="00842ADA" w:rsidRPr="00B456E6" w:rsidRDefault="00842ADA" w:rsidP="0094218D">
      <w:pPr>
        <w:pStyle w:val="a8"/>
        <w:numPr>
          <w:ilvl w:val="0"/>
          <w:numId w:val="21"/>
        </w:numPr>
        <w:ind w:firstLineChars="0"/>
        <w:outlineLvl w:val="1"/>
        <w:rPr>
          <w:b/>
        </w:rPr>
      </w:pPr>
      <w:r w:rsidRPr="00B456E6">
        <w:rPr>
          <w:rFonts w:hint="eastAsia"/>
          <w:b/>
        </w:rPr>
        <w:t>梅赛德斯</w:t>
      </w:r>
      <w:r w:rsidRPr="00B456E6">
        <w:rPr>
          <w:b/>
        </w:rPr>
        <w:t>-奔驰将从2024年起采用磷酸铁锂电池</w:t>
      </w:r>
    </w:p>
    <w:p w14:paraId="0E7CC122" w14:textId="77777777" w:rsidR="00842ADA" w:rsidRDefault="00842ADA" w:rsidP="0094218D">
      <w:r>
        <w:t>戴姆勒集团考虑在奔驰品牌入门级车型中使用更便宜的磷酸铁锂电池。</w:t>
      </w:r>
    </w:p>
    <w:p w14:paraId="6309F6D6" w14:textId="77777777" w:rsidR="00842ADA" w:rsidRDefault="00842ADA" w:rsidP="0094218D">
      <w:r>
        <w:rPr>
          <w:rFonts w:hint="eastAsia"/>
        </w:rPr>
        <w:t>戴姆勒集团</w:t>
      </w:r>
      <w:r>
        <w:t>CEO康林松表示，从2024年起，梅赛德斯-奔驰将在其下一代车型如奔驰EQA和EQB中使用磷酸铁锂电池，而EQS等高端车型仍然使用NCM三元电池。</w:t>
      </w:r>
    </w:p>
    <w:p w14:paraId="511C38E1" w14:textId="77777777" w:rsidR="00842ADA" w:rsidRPr="00916758" w:rsidRDefault="00842ADA" w:rsidP="0094218D">
      <w:pPr>
        <w:pStyle w:val="a8"/>
        <w:numPr>
          <w:ilvl w:val="0"/>
          <w:numId w:val="21"/>
        </w:numPr>
        <w:ind w:firstLineChars="0"/>
        <w:outlineLvl w:val="1"/>
        <w:rPr>
          <w:b/>
        </w:rPr>
      </w:pPr>
      <w:r w:rsidRPr="00916758">
        <w:rPr>
          <w:rFonts w:hint="eastAsia"/>
          <w:b/>
        </w:rPr>
        <w:t>松下首次发布特斯拉</w:t>
      </w:r>
      <w:r w:rsidRPr="00916758">
        <w:rPr>
          <w:b/>
        </w:rPr>
        <w:t>4680原型电池</w:t>
      </w:r>
    </w:p>
    <w:p w14:paraId="42BEFDA9" w14:textId="77777777" w:rsidR="00842ADA" w:rsidRDefault="00842ADA" w:rsidP="0094218D">
      <w:r>
        <w:t>松下首次发布了该公司新电池，即4680原型电池。这款先进电池的存储容量是现有电池的5倍。松下电池部门负责人KazuoTadanobu表示，这款电池的发布将有助于深化松下与特斯拉的商业合作。Tadanobu还表示，松下目前没有生产成本更低的磷酸铁锂电池(LFP)的计划。</w:t>
      </w:r>
    </w:p>
    <w:p w14:paraId="4B4F10C6" w14:textId="77777777" w:rsidR="00842ADA" w:rsidRPr="00B64C63" w:rsidRDefault="00842ADA" w:rsidP="0094218D">
      <w:pPr>
        <w:pStyle w:val="a8"/>
        <w:numPr>
          <w:ilvl w:val="0"/>
          <w:numId w:val="21"/>
        </w:numPr>
        <w:ind w:firstLineChars="0"/>
        <w:outlineLvl w:val="1"/>
        <w:rPr>
          <w:b/>
        </w:rPr>
      </w:pPr>
      <w:r w:rsidRPr="00B64C63">
        <w:rPr>
          <w:rFonts w:hint="eastAsia"/>
          <w:b/>
        </w:rPr>
        <w:t>特斯拉将会扩大其移动维修团队</w:t>
      </w:r>
    </w:p>
    <w:p w14:paraId="334361D5" w14:textId="77777777" w:rsidR="00842ADA" w:rsidRDefault="00842ADA" w:rsidP="0094218D">
      <w:r>
        <w:rPr>
          <w:rFonts w:hint="eastAsia"/>
        </w:rPr>
        <w:t>特斯拉正在从多方面提高客户服务需求，一些车主指出，现在可以在数周甚至数月后与公司服务团队进行预约，虽然这可能给特斯拉带来了各种各样的问题，但却可以极大的增强推拉式用户的信心。</w:t>
      </w:r>
    </w:p>
    <w:p w14:paraId="3B0D036B" w14:textId="77777777" w:rsidR="00842ADA" w:rsidRDefault="00842ADA" w:rsidP="0094218D">
      <w:r>
        <w:rPr>
          <w:rFonts w:hint="eastAsia"/>
        </w:rPr>
        <w:t>首席财务官扎卡里·柯克霍恩指出，尽管去年存在疫情影响，但特斯拉的实体服务中心还是增长了</w:t>
      </w:r>
      <w:r>
        <w:t>35%，移动服务车队的增长更为惊人，达到了40%。但在这些努力背后，首席财务官重申，特斯拉的主要目标仍然是创造极其可靠的车辆，毕竟没有更好的车辆就没有更好的服务。</w:t>
      </w:r>
    </w:p>
    <w:p w14:paraId="71DD4117" w14:textId="77777777" w:rsidR="00842ADA" w:rsidRPr="00EF3302" w:rsidRDefault="00842ADA" w:rsidP="0094218D">
      <w:pPr>
        <w:pStyle w:val="a8"/>
        <w:numPr>
          <w:ilvl w:val="0"/>
          <w:numId w:val="21"/>
        </w:numPr>
        <w:ind w:firstLineChars="0"/>
        <w:outlineLvl w:val="1"/>
        <w:rPr>
          <w:b/>
        </w:rPr>
      </w:pPr>
      <w:r w:rsidRPr="00EF3302">
        <w:rPr>
          <w:b/>
        </w:rPr>
        <w:t>特斯拉新建40GWh电池工厂</w:t>
      </w:r>
      <w:r w:rsidRPr="00EF3302">
        <w:rPr>
          <w:rFonts w:hint="eastAsia"/>
          <w:b/>
        </w:rPr>
        <w:t>产量增加十倍</w:t>
      </w:r>
    </w:p>
    <w:p w14:paraId="50170A03" w14:textId="77777777" w:rsidR="00842ADA" w:rsidRDefault="00842ADA" w:rsidP="0094218D">
      <w:r>
        <w:rPr>
          <w:rFonts w:hint="eastAsia"/>
        </w:rPr>
        <w:t>从海外媒体</w:t>
      </w:r>
      <w:r>
        <w:t>insideevs获悉，特斯拉宣布建造一座全新40GWh电池储能工厂，用于生产特斯拉Megapack系统。在过去一年中，特斯拉交付包括Powerwalls、Powerpacks和Megapacks在内的总储电量为4.6GWh的ESS储能系统。其中，Megapacks交付约1000套，总容量为3GWh。</w:t>
      </w:r>
    </w:p>
    <w:p w14:paraId="1EE7FC45" w14:textId="77777777" w:rsidR="00842ADA" w:rsidRDefault="00842ADA" w:rsidP="0094218D">
      <w:r>
        <w:rPr>
          <w:rFonts w:hint="eastAsia"/>
        </w:rPr>
        <w:t>据悉，特斯拉</w:t>
      </w:r>
      <w:r>
        <w:t>Megapack工厂目前正在加利福尼亚州Lathrop进行建造。值得一提的是，特斯拉Megapack或将采用由宁德时代所提供的磷酸铁锂电池。</w:t>
      </w:r>
    </w:p>
    <w:p w14:paraId="6BDC7C47" w14:textId="77777777" w:rsidR="00842ADA" w:rsidRPr="008D69EA" w:rsidRDefault="00842ADA" w:rsidP="0094218D">
      <w:pPr>
        <w:pStyle w:val="a8"/>
        <w:numPr>
          <w:ilvl w:val="0"/>
          <w:numId w:val="21"/>
        </w:numPr>
        <w:ind w:firstLineChars="0"/>
        <w:outlineLvl w:val="1"/>
        <w:rPr>
          <w:b/>
        </w:rPr>
      </w:pPr>
      <w:r w:rsidRPr="008D69EA">
        <w:rPr>
          <w:b/>
        </w:rPr>
        <w:t>通用：电动车美国市场销量2025年赶上特斯拉</w:t>
      </w:r>
    </w:p>
    <w:p w14:paraId="04989A58" w14:textId="77777777" w:rsidR="00842ADA" w:rsidRPr="00D22E47" w:rsidRDefault="00842ADA" w:rsidP="0094218D">
      <w:r w:rsidRPr="00D22E47">
        <w:t>通用汽车首席执行官兼董事长MaryBarra当天表示，到2025年，通用汽车在美国电动汽车销量方面“绝对”能赶上特斯拉。</w:t>
      </w:r>
    </w:p>
    <w:p w14:paraId="786F346D" w14:textId="77777777" w:rsidR="00842ADA" w:rsidRPr="008D69EA" w:rsidRDefault="00842ADA" w:rsidP="0094218D">
      <w:pPr>
        <w:pStyle w:val="a8"/>
        <w:numPr>
          <w:ilvl w:val="0"/>
          <w:numId w:val="21"/>
        </w:numPr>
        <w:ind w:firstLineChars="0"/>
        <w:outlineLvl w:val="1"/>
        <w:rPr>
          <w:b/>
        </w:rPr>
      </w:pPr>
      <w:r w:rsidRPr="008D69EA">
        <w:rPr>
          <w:rFonts w:hint="eastAsia"/>
          <w:b/>
        </w:rPr>
        <w:t>通用将在美加建设</w:t>
      </w:r>
      <w:r w:rsidRPr="008D69EA">
        <w:rPr>
          <w:b/>
        </w:rPr>
        <w:t>4万座充电站</w:t>
      </w:r>
    </w:p>
    <w:p w14:paraId="5D3B2CE9" w14:textId="77777777" w:rsidR="00842ADA" w:rsidRDefault="00842ADA" w:rsidP="0094218D">
      <w:r w:rsidRPr="00D22E47">
        <w:t>10月27日，通用汽车宣布，作为此前7.5亿美元投资承诺的一部分，将在美国和加拿大建设4万座电动车充电站。这些充电站将向所有品牌的电动车车主开放。</w:t>
      </w:r>
    </w:p>
    <w:p w14:paraId="4CA80282" w14:textId="77777777" w:rsidR="00842ADA" w:rsidRPr="00783A95" w:rsidRDefault="00842ADA" w:rsidP="0094218D">
      <w:pPr>
        <w:pStyle w:val="a8"/>
        <w:numPr>
          <w:ilvl w:val="0"/>
          <w:numId w:val="21"/>
        </w:numPr>
        <w:ind w:firstLineChars="0"/>
        <w:outlineLvl w:val="1"/>
        <w:rPr>
          <w:b/>
        </w:rPr>
      </w:pPr>
      <w:r w:rsidRPr="00783A95">
        <w:rPr>
          <w:rFonts w:hint="eastAsia"/>
          <w:b/>
        </w:rPr>
        <w:t>由于半导体危机影响</w:t>
      </w:r>
      <w:r w:rsidRPr="00783A95">
        <w:rPr>
          <w:b/>
        </w:rPr>
        <w:t>日产汽车将缩减30%产量</w:t>
      </w:r>
    </w:p>
    <w:p w14:paraId="64750B9E" w14:textId="77777777" w:rsidR="00842ADA" w:rsidRDefault="00842ADA" w:rsidP="0094218D">
      <w:r>
        <w:rPr>
          <w:rFonts w:hint="eastAsia"/>
        </w:rPr>
        <w:t>从路透社获悉，由于半导体芯片危机影响，日产汽车计划将</w:t>
      </w:r>
      <w:r>
        <w:t>10月及11月全球产量缩减30%。据悉，日产汽车此前已经通知其供应商，10月及11月日产汽车将总共生产583,000台汽车。</w:t>
      </w:r>
    </w:p>
    <w:p w14:paraId="794B96CB" w14:textId="77777777" w:rsidR="00842ADA" w:rsidRDefault="00842ADA" w:rsidP="0094218D">
      <w:r>
        <w:rPr>
          <w:rFonts w:hint="eastAsia"/>
        </w:rPr>
        <w:t>日产汽车发言人表示承认半导体芯片供应仍处于困难状态，但并未给出关于缩减汽车产量的具体消息。据悉，日产汽车将在下月发布最新收益时公布更加详细的信息。</w:t>
      </w:r>
    </w:p>
    <w:p w14:paraId="63E4E740" w14:textId="024B2ADD" w:rsidR="00842ADA" w:rsidRPr="00783A95" w:rsidRDefault="00842ADA" w:rsidP="0094218D">
      <w:pPr>
        <w:rPr>
          <w:rFonts w:cs="宋体"/>
          <w:b/>
          <w:bCs/>
          <w:i/>
          <w:iCs/>
        </w:rPr>
      </w:pPr>
    </w:p>
    <w:sectPr w:rsidR="00842ADA" w:rsidRPr="00783A95" w:rsidSect="00D22C9F">
      <w:headerReference w:type="default" r:id="rId18"/>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2585D" w14:textId="77777777" w:rsidR="00C56488" w:rsidRDefault="00C56488" w:rsidP="0094218D">
      <w:r>
        <w:separator/>
      </w:r>
    </w:p>
  </w:endnote>
  <w:endnote w:type="continuationSeparator" w:id="0">
    <w:p w14:paraId="69558462" w14:textId="77777777" w:rsidR="00C56488" w:rsidRDefault="00C56488" w:rsidP="0094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43C2" w14:textId="77777777" w:rsidR="00C56488" w:rsidRDefault="00C56488" w:rsidP="0094218D">
      <w:r>
        <w:separator/>
      </w:r>
    </w:p>
  </w:footnote>
  <w:footnote w:type="continuationSeparator" w:id="0">
    <w:p w14:paraId="41CC61FE" w14:textId="77777777" w:rsidR="00C56488" w:rsidRDefault="00C56488" w:rsidP="00942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1D84" w14:textId="62D4E31B" w:rsidR="00D22C9F" w:rsidRDefault="00D22C9F" w:rsidP="00D22C9F">
    <w:pPr>
      <w:pStyle w:val="a3"/>
      <w:jc w:val="left"/>
    </w:pPr>
    <w:r>
      <w:rPr>
        <w:noProof/>
      </w:rPr>
      <w:drawing>
        <wp:inline distT="0" distB="0" distL="0" distR="0" wp14:anchorId="1C1978E6" wp14:editId="183FCD39">
          <wp:extent cx="895350" cy="292100"/>
          <wp:effectExtent l="0" t="0" r="0" b="0"/>
          <wp:docPr id="2" name="图片 2"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0F6B7C"/>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821D75"/>
    <w:multiLevelType w:val="hybridMultilevel"/>
    <w:tmpl w:val="7C044ABE"/>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3"/>
  </w:num>
  <w:num w:numId="3">
    <w:abstractNumId w:val="14"/>
  </w:num>
  <w:num w:numId="4">
    <w:abstractNumId w:val="16"/>
  </w:num>
  <w:num w:numId="5">
    <w:abstractNumId w:val="15"/>
  </w:num>
  <w:num w:numId="6">
    <w:abstractNumId w:val="10"/>
  </w:num>
  <w:num w:numId="7">
    <w:abstractNumId w:val="6"/>
  </w:num>
  <w:num w:numId="8">
    <w:abstractNumId w:val="5"/>
  </w:num>
  <w:num w:numId="9">
    <w:abstractNumId w:val="11"/>
  </w:num>
  <w:num w:numId="10">
    <w:abstractNumId w:val="7"/>
  </w:num>
  <w:num w:numId="11">
    <w:abstractNumId w:val="1"/>
  </w:num>
  <w:num w:numId="12">
    <w:abstractNumId w:val="9"/>
  </w:num>
  <w:num w:numId="13">
    <w:abstractNumId w:val="2"/>
  </w:num>
  <w:num w:numId="14">
    <w:abstractNumId w:val="21"/>
  </w:num>
  <w:num w:numId="15">
    <w:abstractNumId w:val="20"/>
  </w:num>
  <w:num w:numId="16">
    <w:abstractNumId w:val="17"/>
  </w:num>
  <w:num w:numId="17">
    <w:abstractNumId w:val="1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0"/>
  </w:num>
  <w:num w:numId="21">
    <w:abstractNumId w:val="3"/>
  </w:num>
  <w:num w:numId="22">
    <w:abstractNumId w:val="13"/>
    <w:lvlOverride w:ilvl="0">
      <w:startOverride w:val="1"/>
    </w:lvlOverride>
  </w:num>
  <w:num w:numId="23">
    <w:abstractNumId w:val="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CF6"/>
    <w:rsid w:val="00034006"/>
    <w:rsid w:val="00035632"/>
    <w:rsid w:val="000B170D"/>
    <w:rsid w:val="000C3731"/>
    <w:rsid w:val="000D5E7B"/>
    <w:rsid w:val="001A0DB6"/>
    <w:rsid w:val="001A1A38"/>
    <w:rsid w:val="001A54AC"/>
    <w:rsid w:val="001E6059"/>
    <w:rsid w:val="00261FE2"/>
    <w:rsid w:val="00267E7C"/>
    <w:rsid w:val="00290551"/>
    <w:rsid w:val="002D7102"/>
    <w:rsid w:val="00361E4B"/>
    <w:rsid w:val="003A4E26"/>
    <w:rsid w:val="00436288"/>
    <w:rsid w:val="00454B43"/>
    <w:rsid w:val="004764FD"/>
    <w:rsid w:val="004766BA"/>
    <w:rsid w:val="004D687F"/>
    <w:rsid w:val="00501607"/>
    <w:rsid w:val="00501F38"/>
    <w:rsid w:val="00523968"/>
    <w:rsid w:val="00533544"/>
    <w:rsid w:val="0055679D"/>
    <w:rsid w:val="005C11C7"/>
    <w:rsid w:val="005C685B"/>
    <w:rsid w:val="00665BF8"/>
    <w:rsid w:val="00684914"/>
    <w:rsid w:val="006D08B6"/>
    <w:rsid w:val="006E2ABB"/>
    <w:rsid w:val="006F0B15"/>
    <w:rsid w:val="007049B4"/>
    <w:rsid w:val="00705CA9"/>
    <w:rsid w:val="00734824"/>
    <w:rsid w:val="007D1A36"/>
    <w:rsid w:val="00811041"/>
    <w:rsid w:val="00842ADA"/>
    <w:rsid w:val="0085703E"/>
    <w:rsid w:val="0094218D"/>
    <w:rsid w:val="009743CC"/>
    <w:rsid w:val="00A37336"/>
    <w:rsid w:val="00A506BD"/>
    <w:rsid w:val="00AA2117"/>
    <w:rsid w:val="00AC69B2"/>
    <w:rsid w:val="00B21319"/>
    <w:rsid w:val="00B341D2"/>
    <w:rsid w:val="00BC0E45"/>
    <w:rsid w:val="00BC428D"/>
    <w:rsid w:val="00BF74F3"/>
    <w:rsid w:val="00C41B10"/>
    <w:rsid w:val="00C56488"/>
    <w:rsid w:val="00C9687F"/>
    <w:rsid w:val="00CA7AA6"/>
    <w:rsid w:val="00D22C9F"/>
    <w:rsid w:val="00D6207E"/>
    <w:rsid w:val="00D715D8"/>
    <w:rsid w:val="00DC2850"/>
    <w:rsid w:val="00DC4338"/>
    <w:rsid w:val="00E20CF6"/>
    <w:rsid w:val="00E5056D"/>
    <w:rsid w:val="00E533D3"/>
    <w:rsid w:val="00E749AA"/>
    <w:rsid w:val="00E7659A"/>
    <w:rsid w:val="00FA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92F95"/>
  <w15:chartTrackingRefBased/>
  <w15:docId w15:val="{C9C8EDE9-D125-4354-8F95-941F339B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18D"/>
    <w:pPr>
      <w:widowControl w:val="0"/>
      <w:jc w:val="both"/>
    </w:pPr>
    <w:rPr>
      <w:szCs w:val="24"/>
    </w:rPr>
  </w:style>
  <w:style w:type="paragraph" w:styleId="2">
    <w:name w:val="heading 2"/>
    <w:basedOn w:val="a"/>
    <w:next w:val="a"/>
    <w:link w:val="20"/>
    <w:semiHidden/>
    <w:unhideWhenUsed/>
    <w:qFormat/>
    <w:rsid w:val="009421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1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4218D"/>
    <w:rPr>
      <w:sz w:val="18"/>
      <w:szCs w:val="18"/>
    </w:rPr>
  </w:style>
  <w:style w:type="paragraph" w:styleId="a5">
    <w:name w:val="footer"/>
    <w:basedOn w:val="a"/>
    <w:link w:val="a6"/>
    <w:unhideWhenUsed/>
    <w:rsid w:val="0094218D"/>
    <w:pPr>
      <w:tabs>
        <w:tab w:val="center" w:pos="4153"/>
        <w:tab w:val="right" w:pos="8306"/>
      </w:tabs>
      <w:snapToGrid w:val="0"/>
      <w:jc w:val="left"/>
    </w:pPr>
    <w:rPr>
      <w:sz w:val="18"/>
      <w:szCs w:val="18"/>
    </w:rPr>
  </w:style>
  <w:style w:type="character" w:customStyle="1" w:styleId="a6">
    <w:name w:val="页脚 字符"/>
    <w:basedOn w:val="a0"/>
    <w:link w:val="a5"/>
    <w:rsid w:val="0094218D"/>
    <w:rPr>
      <w:sz w:val="18"/>
      <w:szCs w:val="18"/>
    </w:rPr>
  </w:style>
  <w:style w:type="character" w:customStyle="1" w:styleId="20">
    <w:name w:val="标题 2 字符"/>
    <w:basedOn w:val="a0"/>
    <w:link w:val="2"/>
    <w:semiHidden/>
    <w:rsid w:val="0094218D"/>
    <w:rPr>
      <w:rFonts w:asciiTheme="majorHAnsi" w:eastAsiaTheme="majorEastAsia" w:hAnsiTheme="majorHAnsi" w:cstheme="majorBidi"/>
      <w:b/>
      <w:bCs/>
      <w:sz w:val="32"/>
      <w:szCs w:val="32"/>
    </w:rPr>
  </w:style>
  <w:style w:type="character" w:styleId="a7">
    <w:name w:val="Strong"/>
    <w:basedOn w:val="a0"/>
    <w:qFormat/>
    <w:rsid w:val="0094218D"/>
    <w:rPr>
      <w:b/>
    </w:rPr>
  </w:style>
  <w:style w:type="paragraph" w:customStyle="1" w:styleId="1">
    <w:name w:val="列出段落1"/>
    <w:basedOn w:val="a"/>
    <w:uiPriority w:val="99"/>
    <w:qFormat/>
    <w:rsid w:val="0094218D"/>
    <w:pPr>
      <w:ind w:firstLineChars="200" w:firstLine="420"/>
    </w:pPr>
  </w:style>
  <w:style w:type="paragraph" w:styleId="a8">
    <w:name w:val="List Paragraph"/>
    <w:basedOn w:val="a"/>
    <w:uiPriority w:val="34"/>
    <w:qFormat/>
    <w:rsid w:val="0094218D"/>
    <w:pPr>
      <w:ind w:firstLineChars="200" w:firstLine="420"/>
    </w:pPr>
  </w:style>
  <w:style w:type="paragraph" w:styleId="a9">
    <w:name w:val="Balloon Text"/>
    <w:basedOn w:val="a"/>
    <w:link w:val="aa"/>
    <w:rsid w:val="0094218D"/>
    <w:rPr>
      <w:sz w:val="18"/>
      <w:szCs w:val="18"/>
    </w:rPr>
  </w:style>
  <w:style w:type="character" w:customStyle="1" w:styleId="aa">
    <w:name w:val="批注框文本 字符"/>
    <w:basedOn w:val="a0"/>
    <w:link w:val="a9"/>
    <w:rsid w:val="0094218D"/>
    <w:rPr>
      <w:sz w:val="18"/>
      <w:szCs w:val="18"/>
    </w:rPr>
  </w:style>
  <w:style w:type="character" w:customStyle="1" w:styleId="apple-converted-space">
    <w:name w:val="apple-converted-space"/>
    <w:basedOn w:val="a0"/>
    <w:rsid w:val="0094218D"/>
  </w:style>
  <w:style w:type="character" w:styleId="ab">
    <w:name w:val="annotation reference"/>
    <w:basedOn w:val="a0"/>
    <w:uiPriority w:val="99"/>
    <w:semiHidden/>
    <w:unhideWhenUsed/>
    <w:rsid w:val="0094218D"/>
    <w:rPr>
      <w:sz w:val="21"/>
      <w:szCs w:val="21"/>
    </w:rPr>
  </w:style>
  <w:style w:type="paragraph" w:styleId="ac">
    <w:name w:val="annotation text"/>
    <w:basedOn w:val="a"/>
    <w:link w:val="ad"/>
    <w:uiPriority w:val="99"/>
    <w:semiHidden/>
    <w:unhideWhenUsed/>
    <w:rsid w:val="0094218D"/>
    <w:pPr>
      <w:jc w:val="left"/>
    </w:pPr>
  </w:style>
  <w:style w:type="character" w:customStyle="1" w:styleId="ad">
    <w:name w:val="批注文字 字符"/>
    <w:basedOn w:val="a0"/>
    <w:link w:val="ac"/>
    <w:uiPriority w:val="99"/>
    <w:semiHidden/>
    <w:rsid w:val="0094218D"/>
    <w:rPr>
      <w:szCs w:val="24"/>
    </w:rPr>
  </w:style>
  <w:style w:type="paragraph" w:styleId="ae">
    <w:name w:val="annotation subject"/>
    <w:basedOn w:val="ac"/>
    <w:next w:val="ac"/>
    <w:link w:val="af"/>
    <w:uiPriority w:val="99"/>
    <w:semiHidden/>
    <w:unhideWhenUsed/>
    <w:rsid w:val="0094218D"/>
    <w:rPr>
      <w:b/>
      <w:bCs/>
    </w:rPr>
  </w:style>
  <w:style w:type="character" w:customStyle="1" w:styleId="af">
    <w:name w:val="批注主题 字符"/>
    <w:basedOn w:val="ad"/>
    <w:link w:val="ae"/>
    <w:uiPriority w:val="99"/>
    <w:semiHidden/>
    <w:rsid w:val="0094218D"/>
    <w:rPr>
      <w:b/>
      <w:bCs/>
      <w:szCs w:val="24"/>
    </w:rPr>
  </w:style>
  <w:style w:type="character" w:styleId="af0">
    <w:name w:val="Hyperlink"/>
    <w:basedOn w:val="a0"/>
    <w:uiPriority w:val="99"/>
    <w:unhideWhenUsed/>
    <w:rsid w:val="0094218D"/>
    <w:rPr>
      <w:color w:val="0563C1" w:themeColor="hyperlink"/>
      <w:u w:val="single"/>
    </w:rPr>
  </w:style>
  <w:style w:type="character" w:styleId="af1">
    <w:name w:val="Unresolved Mention"/>
    <w:basedOn w:val="a0"/>
    <w:uiPriority w:val="99"/>
    <w:semiHidden/>
    <w:unhideWhenUsed/>
    <w:rsid w:val="00D2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14</Pages>
  <Words>2165</Words>
  <Characters>12341</Characters>
  <Application>Microsoft Office Word</Application>
  <DocSecurity>0</DocSecurity>
  <Lines>102</Lines>
  <Paragraphs>28</Paragraphs>
  <ScaleCrop>false</ScaleCrop>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2021-11-03T06:32:00Z</dcterms:created>
  <dcterms:modified xsi:type="dcterms:W3CDTF">2021-11-03T07:57:00Z</dcterms:modified>
</cp:coreProperties>
</file>