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2E975" w14:textId="6BB3F8EF" w:rsidR="00EA49ED" w:rsidRDefault="00EA49ED" w:rsidP="00EA49ED">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45</w:t>
      </w:r>
      <w:r w:rsidRPr="002009FE">
        <w:rPr>
          <w:rFonts w:ascii="黑体" w:eastAsia="黑体" w:cs="黑体" w:hint="eastAsia"/>
          <w:sz w:val="24"/>
        </w:rPr>
        <w:t>期（</w:t>
      </w:r>
      <w:r>
        <w:rPr>
          <w:rFonts w:ascii="黑体" w:eastAsia="黑体" w:cs="黑体"/>
          <w:sz w:val="24"/>
        </w:rPr>
        <w:t>11</w:t>
      </w:r>
      <w:r w:rsidRPr="002009FE">
        <w:rPr>
          <w:rFonts w:ascii="黑体" w:eastAsia="黑体" w:cs="黑体" w:hint="eastAsia"/>
          <w:sz w:val="24"/>
        </w:rPr>
        <w:t>月</w:t>
      </w:r>
      <w:r w:rsidR="00F725A1">
        <w:rPr>
          <w:rFonts w:ascii="黑体" w:eastAsia="黑体" w:cs="黑体"/>
          <w:sz w:val="24"/>
        </w:rPr>
        <w:t>8</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11</w:t>
      </w:r>
      <w:r w:rsidRPr="002009FE">
        <w:rPr>
          <w:rFonts w:ascii="黑体" w:eastAsia="黑体" w:cs="黑体" w:hint="eastAsia"/>
          <w:sz w:val="24"/>
        </w:rPr>
        <w:t>月</w:t>
      </w:r>
      <w:r>
        <w:rPr>
          <w:rFonts w:ascii="黑体" w:eastAsia="黑体" w:cs="黑体"/>
          <w:sz w:val="24"/>
        </w:rPr>
        <w:t>14</w:t>
      </w:r>
      <w:r w:rsidRPr="002009FE">
        <w:rPr>
          <w:rFonts w:ascii="黑体" w:eastAsia="黑体" w:cs="黑体" w:hint="eastAsia"/>
          <w:sz w:val="24"/>
        </w:rPr>
        <w:t>日）</w:t>
      </w:r>
      <w:bookmarkEnd w:id="0"/>
    </w:p>
    <w:p w14:paraId="7994EBEE" w14:textId="77777777" w:rsidR="00F725A1" w:rsidRPr="00F725A1" w:rsidRDefault="00F725A1" w:rsidP="00EA49ED">
      <w:pPr>
        <w:jc w:val="center"/>
        <w:outlineLvl w:val="0"/>
        <w:rPr>
          <w:rFonts w:ascii="黑体" w:eastAsia="黑体" w:cs="Times New Roman"/>
          <w:sz w:val="24"/>
        </w:rPr>
      </w:pPr>
    </w:p>
    <w:p w14:paraId="26C3046C" w14:textId="77777777" w:rsidR="00EA49ED" w:rsidRPr="00A43D0D" w:rsidRDefault="00EA49ED" w:rsidP="00EA49ED">
      <w:pPr>
        <w:rPr>
          <w:rFonts w:ascii="黑体" w:eastAsia="黑体" w:cs="黑体"/>
        </w:rPr>
      </w:pPr>
      <w:r w:rsidRPr="00A43D0D">
        <w:rPr>
          <w:rFonts w:ascii="黑体" w:eastAsia="黑体" w:cs="黑体" w:hint="eastAsia"/>
        </w:rPr>
        <w:t>主要信息源自乘联会每日新闻等</w:t>
      </w:r>
    </w:p>
    <w:p w14:paraId="228D71B0" w14:textId="77777777" w:rsidR="00EA49ED" w:rsidRPr="00A43D0D" w:rsidRDefault="00EA49ED" w:rsidP="00EA49ED">
      <w:pPr>
        <w:rPr>
          <w:rFonts w:ascii="黑体" w:eastAsia="黑体" w:cs="黑体"/>
        </w:rPr>
      </w:pPr>
      <w:r w:rsidRPr="00A43D0D">
        <w:rPr>
          <w:rFonts w:ascii="黑体" w:eastAsia="黑体" w:cs="黑体" w:hint="eastAsia"/>
        </w:rPr>
        <w:t>中国汽车流通协会汽车市场研究分会</w:t>
      </w:r>
    </w:p>
    <w:p w14:paraId="274F273C" w14:textId="77777777" w:rsidR="00EA49ED" w:rsidRPr="00A43D0D" w:rsidRDefault="00EA49ED" w:rsidP="00EA49ED">
      <w:pPr>
        <w:rPr>
          <w:rFonts w:ascii="黑体" w:eastAsia="黑体" w:cs="黑体"/>
        </w:rPr>
      </w:pPr>
      <w:r w:rsidRPr="00A43D0D">
        <w:rPr>
          <w:rFonts w:ascii="黑体" w:eastAsia="黑体" w:cs="黑体" w:hint="eastAsia"/>
        </w:rPr>
        <w:t>乘用车市场信息联席会（乘联会）</w:t>
      </w:r>
    </w:p>
    <w:p w14:paraId="22A0E86A" w14:textId="5B255C97" w:rsidR="00EA49ED" w:rsidRDefault="00EA49ED" w:rsidP="00EA49ED">
      <w:pPr>
        <w:rPr>
          <w:rFonts w:ascii="黑体" w:eastAsia="黑体" w:cs="黑体"/>
        </w:rPr>
      </w:pPr>
      <w:r w:rsidRPr="00A43D0D">
        <w:rPr>
          <w:rFonts w:ascii="黑体" w:eastAsia="黑体" w:cs="黑体" w:hint="eastAsia"/>
        </w:rPr>
        <w:t>网站：</w:t>
      </w:r>
      <w:hyperlink r:id="rId7" w:history="1">
        <w:r w:rsidR="00F725A1" w:rsidRPr="00AF24A1">
          <w:rPr>
            <w:rStyle w:val="af0"/>
            <w:rFonts w:ascii="黑体" w:eastAsia="黑体" w:cs="黑体"/>
          </w:rPr>
          <w:t>http://www.cpcaauto.com</w:t>
        </w:r>
      </w:hyperlink>
    </w:p>
    <w:p w14:paraId="712B141F" w14:textId="77777777" w:rsidR="00F725A1" w:rsidRPr="00F725A1" w:rsidRDefault="00F725A1" w:rsidP="00EA49ED">
      <w:pPr>
        <w:rPr>
          <w:rFonts w:cs="Times New Roman"/>
        </w:rPr>
      </w:pPr>
    </w:p>
    <w:p w14:paraId="6F65DE6A" w14:textId="0BF431C4" w:rsidR="00F725A1" w:rsidRPr="00403779" w:rsidRDefault="00EA49ED" w:rsidP="00403779">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9240CD7" w14:textId="54A7E627" w:rsidR="00F725A1" w:rsidRDefault="007D3F9A" w:rsidP="00F725A1">
      <w:pPr>
        <w:pStyle w:val="1"/>
        <w:ind w:left="59"/>
        <w:outlineLvl w:val="0"/>
        <w:rPr>
          <w:rFonts w:ascii="宋体" w:eastAsia="宋体" w:hAnsi="宋体" w:cs="Times New Roman"/>
        </w:rPr>
      </w:pPr>
      <w:r w:rsidRPr="007D3F9A">
        <w:rPr>
          <w:rFonts w:ascii="宋体" w:eastAsia="宋体" w:hAnsi="宋体" w:cs="Times New Roman"/>
        </w:rPr>
        <w:t>11月8-14日，乘用车批发36.3万辆，同比去年同期下降-14%，环比上周增长31%，较上月同期增长16%。零售32.4万辆，同比去年同期下降-23%，环比上周增长22%，较上月同期增长0%。</w:t>
      </w:r>
    </w:p>
    <w:p w14:paraId="0BA0850A" w14:textId="77777777" w:rsidR="00F725A1" w:rsidRPr="00F725A1" w:rsidRDefault="00F725A1" w:rsidP="00F725A1">
      <w:pPr>
        <w:pStyle w:val="1"/>
        <w:ind w:left="59"/>
        <w:outlineLvl w:val="0"/>
        <w:rPr>
          <w:rFonts w:ascii="宋体" w:eastAsia="宋体" w:hAnsi="宋体" w:cs="Times New Roman"/>
        </w:rPr>
      </w:pPr>
    </w:p>
    <w:p w14:paraId="0176F6DE" w14:textId="102818D5" w:rsidR="007C206F" w:rsidRPr="00561DCA" w:rsidRDefault="00F725A1" w:rsidP="00561DCA">
      <w:pPr>
        <w:numPr>
          <w:ilvl w:val="0"/>
          <w:numId w:val="2"/>
        </w:numPr>
        <w:outlineLvl w:val="1"/>
        <w:rPr>
          <w:rFonts w:ascii="黑体" w:eastAsia="黑体" w:hAnsi="黑体" w:cs="Times New Roman"/>
          <w:b/>
          <w:bCs/>
          <w:sz w:val="24"/>
        </w:rPr>
      </w:pPr>
      <w:r w:rsidRPr="00F725A1">
        <w:rPr>
          <w:rFonts w:ascii="黑体" w:eastAsia="黑体" w:hAnsi="黑体" w:cs="Times New Roman"/>
          <w:b/>
          <w:bCs/>
          <w:sz w:val="24"/>
        </w:rPr>
        <w:t>11月乘用车市场周度零售走势</w:t>
      </w:r>
    </w:p>
    <w:p w14:paraId="18F6AC8A" w14:textId="783BF9D8" w:rsidR="00403779" w:rsidRPr="007C206F" w:rsidRDefault="00403779" w:rsidP="00403779">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FECDA0B" wp14:editId="1DA7BD3E">
            <wp:extent cx="4320000" cy="3157132"/>
            <wp:effectExtent l="0" t="0" r="444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a:extLst>
                        <a:ext uri="{28A0092B-C50C-407E-A947-70E740481C1C}">
                          <a14:useLocalDpi xmlns:a14="http://schemas.microsoft.com/office/drawing/2010/main" val="0"/>
                        </a:ext>
                      </a:extLst>
                    </a:blip>
                    <a:stretch>
                      <a:fillRect/>
                    </a:stretch>
                  </pic:blipFill>
                  <pic:spPr>
                    <a:xfrm>
                      <a:off x="0" y="0"/>
                      <a:ext cx="4320000" cy="3157132"/>
                    </a:xfrm>
                    <a:prstGeom prst="rect">
                      <a:avLst/>
                    </a:prstGeom>
                  </pic:spPr>
                </pic:pic>
              </a:graphicData>
            </a:graphic>
          </wp:inline>
        </w:drawing>
      </w:r>
    </w:p>
    <w:p w14:paraId="330657F0" w14:textId="77777777" w:rsidR="00403779" w:rsidRDefault="00F87B31" w:rsidP="00403779">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403779">
        <w:rPr>
          <w:rFonts w:ascii="Calibri" w:eastAsia="宋体" w:hAnsi="Calibri" w:cs="Times New Roman" w:hint="eastAsia"/>
          <w:szCs w:val="21"/>
        </w:rPr>
        <w:t>一</w:t>
      </w:r>
      <w:r w:rsidRPr="002A7C74">
        <w:rPr>
          <w:rFonts w:ascii="Calibri" w:eastAsia="宋体" w:hAnsi="Calibri" w:cs="Times New Roman"/>
          <w:szCs w:val="21"/>
        </w:rPr>
        <w:t>周</w:t>
      </w:r>
      <w:r w:rsidR="007C206F">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7C206F">
        <w:rPr>
          <w:rFonts w:ascii="Calibri" w:eastAsia="宋体" w:hAnsi="Calibri" w:cs="Times New Roman"/>
          <w:szCs w:val="21"/>
        </w:rPr>
        <w:t>9</w:t>
      </w:r>
      <w:r w:rsidR="0040377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7C206F">
        <w:rPr>
          <w:rFonts w:ascii="Calibri" w:eastAsia="宋体" w:hAnsi="Calibri" w:cs="Times New Roman"/>
          <w:szCs w:val="21"/>
        </w:rPr>
        <w:t>18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403779">
        <w:rPr>
          <w:rFonts w:ascii="Calibri" w:eastAsia="宋体" w:hAnsi="Calibri" w:cs="Times New Roman" w:hint="eastAsia"/>
          <w:szCs w:val="21"/>
        </w:rPr>
        <w:t>一</w:t>
      </w:r>
      <w:r>
        <w:rPr>
          <w:rFonts w:ascii="Calibri" w:eastAsia="宋体" w:hAnsi="Calibri" w:cs="Times New Roman" w:hint="eastAsia"/>
          <w:szCs w:val="21"/>
        </w:rPr>
        <w:t>周降</w:t>
      </w:r>
      <w:r w:rsidR="007C206F">
        <w:rPr>
          <w:rFonts w:ascii="Calibri" w:eastAsia="宋体" w:hAnsi="Calibri" w:cs="Times New Roman" w:hint="eastAsia"/>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69814220" w14:textId="41FE7587" w:rsidR="00561DCA" w:rsidRDefault="007C206F" w:rsidP="00561DCA">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561DCA">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481CF5">
        <w:rPr>
          <w:rFonts w:ascii="Calibri" w:eastAsia="宋体" w:hAnsi="Calibri" w:cs="Times New Roman"/>
          <w:szCs w:val="21"/>
        </w:rPr>
        <w:t>6</w:t>
      </w:r>
      <w:r w:rsidR="0040377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w:t>
      </w:r>
      <w:r w:rsidR="00481CF5">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561DCA">
        <w:rPr>
          <w:rFonts w:ascii="Calibri" w:eastAsia="宋体" w:hAnsi="Calibri" w:cs="Times New Roman" w:hint="eastAsia"/>
          <w:szCs w:val="21"/>
        </w:rPr>
        <w:t>二</w:t>
      </w:r>
      <w:r>
        <w:rPr>
          <w:rFonts w:ascii="Calibri" w:eastAsia="宋体" w:hAnsi="Calibri" w:cs="Times New Roman" w:hint="eastAsia"/>
          <w:szCs w:val="21"/>
        </w:rPr>
        <w:t>周</w:t>
      </w:r>
      <w:r w:rsidR="00481CF5">
        <w:rPr>
          <w:rFonts w:ascii="Calibri" w:eastAsia="宋体" w:hAnsi="Calibri" w:cs="Times New Roman" w:hint="eastAsia"/>
          <w:szCs w:val="21"/>
        </w:rPr>
        <w:t>基本持平</w:t>
      </w:r>
      <w:r w:rsidR="0095428D">
        <w:rPr>
          <w:rFonts w:ascii="Calibri" w:eastAsia="宋体" w:hAnsi="Calibri" w:cs="Times New Roman" w:hint="eastAsia"/>
          <w:szCs w:val="21"/>
        </w:rPr>
        <w:t>，表现相对平稳</w:t>
      </w:r>
      <w:r>
        <w:rPr>
          <w:rFonts w:ascii="Calibri" w:eastAsia="宋体" w:hAnsi="Calibri" w:cs="Times New Roman" w:hint="eastAsia"/>
          <w:szCs w:val="21"/>
        </w:rPr>
        <w:t>。</w:t>
      </w:r>
    </w:p>
    <w:p w14:paraId="33518868" w14:textId="77777777" w:rsidR="00561DCA" w:rsidRDefault="00F87B31" w:rsidP="00561DCA">
      <w:pPr>
        <w:ind w:firstLineChars="200" w:firstLine="420"/>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月的零售回升应该较明显</w:t>
      </w:r>
      <w:r w:rsidR="007C206F">
        <w:rPr>
          <w:rFonts w:ascii="Calibri" w:eastAsia="宋体" w:hAnsi="Calibri" w:cs="Times New Roman" w:hint="eastAsia"/>
          <w:szCs w:val="21"/>
        </w:rPr>
        <w:t>，但目前的回升速度还是不快，但与</w:t>
      </w:r>
      <w:r w:rsidR="007C206F">
        <w:rPr>
          <w:rFonts w:ascii="Calibri" w:eastAsia="宋体" w:hAnsi="Calibri" w:cs="Times New Roman" w:hint="eastAsia"/>
          <w:szCs w:val="21"/>
        </w:rPr>
        <w:t>2</w:t>
      </w:r>
      <w:r w:rsidR="007C206F">
        <w:rPr>
          <w:rFonts w:ascii="Calibri" w:eastAsia="宋体" w:hAnsi="Calibri" w:cs="Times New Roman"/>
          <w:szCs w:val="21"/>
        </w:rPr>
        <w:t>019</w:t>
      </w:r>
      <w:r w:rsidR="007C206F">
        <w:rPr>
          <w:rFonts w:ascii="Calibri" w:eastAsia="宋体" w:hAnsi="Calibri" w:cs="Times New Roman" w:hint="eastAsia"/>
          <w:szCs w:val="21"/>
        </w:rPr>
        <w:t>年的状态相近，也是较好的表现</w:t>
      </w:r>
      <w:r>
        <w:rPr>
          <w:rFonts w:ascii="Calibri" w:eastAsia="宋体" w:hAnsi="Calibri" w:cs="Times New Roman" w:hint="eastAsia"/>
          <w:szCs w:val="21"/>
        </w:rPr>
        <w:t>。</w:t>
      </w:r>
    </w:p>
    <w:p w14:paraId="7678CDEA" w14:textId="537C3D04" w:rsidR="00EA653D" w:rsidRPr="00EA653D" w:rsidRDefault="00946C81" w:rsidP="00561DCA">
      <w:pPr>
        <w:ind w:firstLineChars="200" w:firstLine="420"/>
        <w:rPr>
          <w:rFonts w:ascii="Calibri" w:eastAsia="宋体" w:hAnsi="Calibri" w:cs="Times New Roman"/>
          <w:szCs w:val="21"/>
        </w:rPr>
      </w:pPr>
      <w:r w:rsidRPr="00946C81">
        <w:rPr>
          <w:rFonts w:ascii="Calibri" w:eastAsia="宋体" w:hAnsi="Calibri" w:cs="Times New Roman" w:hint="eastAsia"/>
          <w:szCs w:val="21"/>
        </w:rPr>
        <w:t>散点式的疫情容易打乱当地市民的生产生活节奏，保持两点一线出行路径，除了利好网络电商、社区团购等无接触行业</w:t>
      </w:r>
      <w:r>
        <w:rPr>
          <w:rFonts w:ascii="Calibri" w:eastAsia="宋体" w:hAnsi="Calibri" w:cs="Times New Roman" w:hint="eastAsia"/>
          <w:szCs w:val="21"/>
        </w:rPr>
        <w:t>。目前</w:t>
      </w:r>
      <w:r w:rsidR="00EA653D" w:rsidRPr="00EA653D">
        <w:rPr>
          <w:rFonts w:ascii="Calibri" w:eastAsia="宋体" w:hAnsi="Calibri" w:cs="Times New Roman" w:hint="eastAsia"/>
          <w:szCs w:val="21"/>
        </w:rPr>
        <w:t>各地的管控加严、信贷政策收紧、恶劣天气的增加均造成购车延后</w:t>
      </w:r>
      <w:r w:rsidR="00EA653D">
        <w:rPr>
          <w:rFonts w:ascii="Calibri" w:eastAsia="宋体" w:hAnsi="Calibri" w:cs="Times New Roman" w:hint="eastAsia"/>
          <w:szCs w:val="21"/>
        </w:rPr>
        <w:t>。</w:t>
      </w:r>
      <w:r w:rsidR="00EA653D" w:rsidRPr="00EA653D">
        <w:rPr>
          <w:rFonts w:ascii="Calibri" w:eastAsia="宋体" w:hAnsi="Calibri" w:cs="Times New Roman" w:hint="eastAsia"/>
          <w:szCs w:val="21"/>
        </w:rPr>
        <w:t>今年终端低库存，厂商促销收紧</w:t>
      </w:r>
      <w:r w:rsidR="00BA23C7">
        <w:rPr>
          <w:rFonts w:ascii="Calibri" w:eastAsia="宋体" w:hAnsi="Calibri" w:cs="Times New Roman" w:hint="eastAsia"/>
          <w:szCs w:val="21"/>
        </w:rPr>
        <w:t>，</w:t>
      </w:r>
      <w:r w:rsidR="00F87B31" w:rsidRPr="003A0308">
        <w:rPr>
          <w:rFonts w:ascii="Calibri" w:eastAsia="宋体" w:hAnsi="Calibri" w:cs="Times New Roman" w:hint="eastAsia"/>
          <w:szCs w:val="21"/>
        </w:rPr>
        <w:t>需求端不能完全释放</w:t>
      </w:r>
      <w:r w:rsidR="00F87B31">
        <w:rPr>
          <w:rFonts w:ascii="Calibri" w:eastAsia="宋体" w:hAnsi="Calibri" w:cs="Times New Roman" w:hint="eastAsia"/>
          <w:szCs w:val="21"/>
        </w:rPr>
        <w:t>。随着异常冰雪天气的出现，购车代步出行是刚需，</w:t>
      </w:r>
      <w:r w:rsidR="00F87B31" w:rsidRPr="00964CBA">
        <w:rPr>
          <w:rFonts w:ascii="Calibri" w:eastAsia="宋体" w:hAnsi="Calibri" w:cs="Times New Roman" w:hint="eastAsia"/>
          <w:szCs w:val="21"/>
        </w:rPr>
        <w:t>消费者对于车辆的需求持续回升。</w:t>
      </w:r>
      <w:r w:rsidR="00BA23C7">
        <w:rPr>
          <w:rFonts w:ascii="Calibri" w:eastAsia="宋体" w:hAnsi="Calibri" w:cs="Times New Roman" w:hint="eastAsia"/>
          <w:szCs w:val="21"/>
        </w:rPr>
        <w:t>由于</w:t>
      </w:r>
      <w:r w:rsidR="00EA653D" w:rsidRPr="00EA653D">
        <w:rPr>
          <w:rFonts w:ascii="Calibri" w:eastAsia="宋体" w:hAnsi="Calibri" w:cs="Times New Roman" w:hint="eastAsia"/>
          <w:szCs w:val="21"/>
        </w:rPr>
        <w:t>去年下半年高基数，促销力度大</w:t>
      </w:r>
      <w:r w:rsidR="00BA23C7">
        <w:rPr>
          <w:rFonts w:ascii="Calibri" w:eastAsia="宋体" w:hAnsi="Calibri" w:cs="Times New Roman" w:hint="eastAsia"/>
          <w:szCs w:val="21"/>
        </w:rPr>
        <w:t>，加之</w:t>
      </w:r>
      <w:r w:rsidR="00EA653D" w:rsidRPr="00EA653D">
        <w:rPr>
          <w:rFonts w:ascii="Calibri" w:eastAsia="宋体" w:hAnsi="Calibri" w:cs="Times New Roman" w:hint="eastAsia"/>
          <w:szCs w:val="21"/>
        </w:rPr>
        <w:t>芯片问题导致家用为主的</w:t>
      </w:r>
      <w:r w:rsidR="00EA653D" w:rsidRPr="00EA653D">
        <w:rPr>
          <w:rFonts w:ascii="Calibri" w:eastAsia="宋体" w:hAnsi="Calibri" w:cs="Times New Roman"/>
          <w:szCs w:val="21"/>
        </w:rPr>
        <w:t>A</w:t>
      </w:r>
      <w:r w:rsidR="00EA653D" w:rsidRPr="00EA653D">
        <w:rPr>
          <w:rFonts w:ascii="Calibri" w:eastAsia="宋体" w:hAnsi="Calibri" w:cs="Times New Roman"/>
          <w:szCs w:val="21"/>
        </w:rPr>
        <w:t>级车市场普遍库存不足，从而影响实际</w:t>
      </w:r>
      <w:r>
        <w:rPr>
          <w:rFonts w:ascii="Calibri" w:eastAsia="宋体" w:hAnsi="Calibri" w:cs="Times New Roman" w:hint="eastAsia"/>
          <w:szCs w:val="21"/>
        </w:rPr>
        <w:t>零售</w:t>
      </w:r>
      <w:r w:rsidR="00EA653D" w:rsidRPr="00EA653D">
        <w:rPr>
          <w:rFonts w:ascii="Calibri" w:eastAsia="宋体" w:hAnsi="Calibri" w:cs="Times New Roman"/>
          <w:szCs w:val="21"/>
        </w:rPr>
        <w:t>情况</w:t>
      </w:r>
      <w:r w:rsidR="00EA653D">
        <w:rPr>
          <w:rFonts w:ascii="Calibri" w:eastAsia="宋体" w:hAnsi="Calibri" w:cs="Times New Roman" w:hint="eastAsia"/>
          <w:szCs w:val="21"/>
        </w:rPr>
        <w:t>。</w:t>
      </w:r>
      <w:r w:rsidR="00EA653D" w:rsidRPr="00EA653D">
        <w:rPr>
          <w:rFonts w:ascii="Calibri" w:eastAsia="宋体" w:hAnsi="Calibri" w:cs="Times New Roman"/>
          <w:szCs w:val="21"/>
        </w:rPr>
        <w:t xml:space="preserve"> </w:t>
      </w:r>
    </w:p>
    <w:p w14:paraId="138080C6" w14:textId="5C93B3A4" w:rsidR="00EA653D" w:rsidRPr="00EA653D" w:rsidRDefault="00EA653D" w:rsidP="00EA653D">
      <w:pPr>
        <w:ind w:firstLineChars="135" w:firstLine="283"/>
        <w:rPr>
          <w:rFonts w:ascii="Calibri" w:eastAsia="宋体" w:hAnsi="Calibri" w:cs="Times New Roman"/>
          <w:szCs w:val="21"/>
        </w:rPr>
      </w:pPr>
    </w:p>
    <w:p w14:paraId="61AECF41" w14:textId="562B012F" w:rsidR="00643B4E" w:rsidRPr="0095428D" w:rsidRDefault="00F725A1" w:rsidP="0095428D">
      <w:pPr>
        <w:numPr>
          <w:ilvl w:val="0"/>
          <w:numId w:val="2"/>
        </w:numPr>
        <w:outlineLvl w:val="1"/>
        <w:rPr>
          <w:rFonts w:ascii="黑体" w:eastAsia="黑体" w:hAnsi="黑体" w:cs="Times New Roman"/>
          <w:b/>
          <w:bCs/>
          <w:sz w:val="24"/>
        </w:rPr>
      </w:pPr>
      <w:r w:rsidRPr="00F725A1">
        <w:rPr>
          <w:rFonts w:ascii="黑体" w:eastAsia="黑体" w:hAnsi="黑体" w:cs="Times New Roman"/>
          <w:b/>
          <w:bCs/>
          <w:sz w:val="24"/>
        </w:rPr>
        <w:t>11月乘用车市场周度批发走势</w:t>
      </w:r>
    </w:p>
    <w:p w14:paraId="572D9295" w14:textId="380D562D" w:rsidR="0095428D" w:rsidRDefault="0095428D" w:rsidP="00643B4E">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72AFD309" wp14:editId="7CE33092">
            <wp:extent cx="4320000" cy="3157043"/>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67F444E0" w14:textId="77777777" w:rsidR="00F87B31" w:rsidRDefault="00F87B31" w:rsidP="00F87B31">
      <w:pPr>
        <w:rPr>
          <w:rFonts w:ascii="Calibri" w:eastAsia="宋体" w:hAnsi="Calibri" w:cs="宋体"/>
          <w:szCs w:val="21"/>
        </w:rPr>
      </w:pPr>
    </w:p>
    <w:p w14:paraId="21032EA7" w14:textId="025DD9E3" w:rsidR="00F87B31" w:rsidRPr="005B6E47" w:rsidRDefault="00F87B31" w:rsidP="00643B4E">
      <w:pPr>
        <w:ind w:firstLineChars="200" w:firstLine="420"/>
        <w:rPr>
          <w:rFonts w:ascii="宋体" w:eastAsia="宋体" w:hAnsi="宋体" w:cs="Times New Roman"/>
          <w:szCs w:val="21"/>
        </w:rPr>
      </w:pPr>
      <w:r w:rsidRPr="005B6E47">
        <w:rPr>
          <w:rFonts w:ascii="宋体" w:eastAsia="宋体" w:hAnsi="宋体" w:cs="Times New Roman"/>
          <w:szCs w:val="21"/>
        </w:rPr>
        <w:t>11</w:t>
      </w:r>
      <w:r w:rsidRPr="005B6E47">
        <w:rPr>
          <w:rFonts w:ascii="宋体" w:eastAsia="宋体" w:hAnsi="宋体" w:cs="Times New Roman" w:hint="eastAsia"/>
          <w:szCs w:val="21"/>
        </w:rPr>
        <w:t>月第</w:t>
      </w:r>
      <w:r w:rsidR="00643B4E" w:rsidRPr="005B6E47">
        <w:rPr>
          <w:rFonts w:ascii="宋体" w:eastAsia="宋体" w:hAnsi="宋体" w:cs="Times New Roman" w:hint="eastAsia"/>
          <w:szCs w:val="21"/>
        </w:rPr>
        <w:t>一</w:t>
      </w:r>
      <w:r w:rsidRPr="005B6E47">
        <w:rPr>
          <w:rFonts w:ascii="宋体" w:eastAsia="宋体" w:hAnsi="宋体" w:cs="Times New Roman" w:hint="eastAsia"/>
          <w:szCs w:val="21"/>
        </w:rPr>
        <w:t>周</w:t>
      </w:r>
      <w:r w:rsidR="007C206F" w:rsidRPr="005B6E47">
        <w:rPr>
          <w:rFonts w:ascii="宋体" w:eastAsia="宋体" w:hAnsi="宋体" w:cs="Times New Roman" w:hint="eastAsia"/>
          <w:szCs w:val="21"/>
        </w:rPr>
        <w:t>狭义乘用车全口径</w:t>
      </w:r>
      <w:r w:rsidRPr="005B6E47">
        <w:rPr>
          <w:rFonts w:ascii="宋体" w:eastAsia="宋体" w:hAnsi="宋体" w:cs="Times New Roman" w:hint="eastAsia"/>
          <w:szCs w:val="21"/>
        </w:rPr>
        <w:t>日均批发</w:t>
      </w:r>
      <w:r w:rsidR="00643B4E" w:rsidRPr="005B6E47">
        <w:rPr>
          <w:rFonts w:ascii="宋体" w:eastAsia="宋体" w:hAnsi="宋体" w:cs="Times New Roman"/>
          <w:szCs w:val="21"/>
        </w:rPr>
        <w:t>4.0</w:t>
      </w:r>
      <w:r w:rsidR="00403779" w:rsidRPr="005B6E47">
        <w:rPr>
          <w:rFonts w:ascii="宋体" w:eastAsia="宋体" w:hAnsi="宋体" w:cs="Times New Roman"/>
          <w:szCs w:val="21"/>
        </w:rPr>
        <w:t>万辆</w:t>
      </w:r>
      <w:r w:rsidRPr="005B6E47">
        <w:rPr>
          <w:rFonts w:ascii="宋体" w:eastAsia="宋体" w:hAnsi="宋体" w:cs="Times New Roman"/>
          <w:szCs w:val="21"/>
        </w:rPr>
        <w:t>，同比</w:t>
      </w:r>
      <w:r w:rsidRPr="005B6E47">
        <w:rPr>
          <w:rFonts w:ascii="宋体" w:eastAsia="宋体" w:hAnsi="宋体" w:cs="Times New Roman" w:hint="eastAsia"/>
          <w:szCs w:val="21"/>
        </w:rPr>
        <w:t>下降</w:t>
      </w:r>
      <w:r w:rsidR="007C206F" w:rsidRPr="005B6E47">
        <w:rPr>
          <w:rFonts w:ascii="宋体" w:eastAsia="宋体" w:hAnsi="宋体" w:cs="Times New Roman"/>
          <w:szCs w:val="21"/>
        </w:rPr>
        <w:t>26</w:t>
      </w:r>
      <w:r w:rsidRPr="005B6E47">
        <w:rPr>
          <w:rFonts w:ascii="宋体" w:eastAsia="宋体" w:hAnsi="宋体" w:cs="Times New Roman" w:hint="eastAsia"/>
          <w:szCs w:val="21"/>
        </w:rPr>
        <w:t>%。本周相对于</w:t>
      </w:r>
      <w:r w:rsidRPr="005B6E47">
        <w:rPr>
          <w:rFonts w:ascii="宋体" w:eastAsia="宋体" w:hAnsi="宋体" w:cs="Times New Roman"/>
          <w:szCs w:val="21"/>
        </w:rPr>
        <w:t>10</w:t>
      </w:r>
      <w:r w:rsidRPr="005B6E47">
        <w:rPr>
          <w:rFonts w:ascii="宋体" w:eastAsia="宋体" w:hAnsi="宋体" w:cs="Times New Roman" w:hint="eastAsia"/>
          <w:szCs w:val="21"/>
        </w:rPr>
        <w:t>月第一周的销量增长</w:t>
      </w:r>
      <w:r w:rsidR="007C206F" w:rsidRPr="005B6E47">
        <w:rPr>
          <w:rFonts w:ascii="宋体" w:eastAsia="宋体" w:hAnsi="宋体" w:cs="Times New Roman"/>
          <w:szCs w:val="21"/>
        </w:rPr>
        <w:t>14</w:t>
      </w:r>
      <w:r w:rsidRPr="005B6E47">
        <w:rPr>
          <w:rFonts w:ascii="宋体" w:eastAsia="宋体" w:hAnsi="宋体" w:cs="Times New Roman" w:hint="eastAsia"/>
          <w:szCs w:val="21"/>
        </w:rPr>
        <w:t>%</w:t>
      </w:r>
      <w:r w:rsidR="00643B4E" w:rsidRPr="005B6E47">
        <w:rPr>
          <w:rFonts w:ascii="宋体" w:eastAsia="宋体" w:hAnsi="宋体" w:cs="Times New Roman" w:hint="eastAsia"/>
          <w:szCs w:val="21"/>
        </w:rPr>
        <w:t>。</w:t>
      </w:r>
    </w:p>
    <w:p w14:paraId="67284AE1" w14:textId="62455DE9" w:rsidR="007C206F" w:rsidRPr="005B6E47" w:rsidRDefault="007C206F" w:rsidP="007C206F">
      <w:pPr>
        <w:ind w:firstLineChars="202" w:firstLine="424"/>
        <w:rPr>
          <w:rFonts w:ascii="宋体" w:eastAsia="宋体" w:hAnsi="宋体" w:cs="Times New Roman"/>
          <w:szCs w:val="21"/>
        </w:rPr>
      </w:pPr>
      <w:r w:rsidRPr="005B6E47">
        <w:rPr>
          <w:rFonts w:ascii="宋体" w:eastAsia="宋体" w:hAnsi="宋体" w:cs="Times New Roman"/>
          <w:szCs w:val="21"/>
        </w:rPr>
        <w:t>11</w:t>
      </w:r>
      <w:r w:rsidRPr="005B6E47">
        <w:rPr>
          <w:rFonts w:ascii="宋体" w:eastAsia="宋体" w:hAnsi="宋体" w:cs="Times New Roman" w:hint="eastAsia"/>
          <w:szCs w:val="21"/>
        </w:rPr>
        <w:t>月第</w:t>
      </w:r>
      <w:r w:rsidR="00643B4E" w:rsidRPr="005B6E47">
        <w:rPr>
          <w:rFonts w:ascii="宋体" w:eastAsia="宋体" w:hAnsi="宋体" w:cs="Times New Roman" w:hint="eastAsia"/>
          <w:szCs w:val="21"/>
        </w:rPr>
        <w:t>二</w:t>
      </w:r>
      <w:r w:rsidRPr="005B6E47">
        <w:rPr>
          <w:rFonts w:ascii="宋体" w:eastAsia="宋体" w:hAnsi="宋体" w:cs="Times New Roman" w:hint="eastAsia"/>
          <w:szCs w:val="21"/>
        </w:rPr>
        <w:t>周狭义乘用车全口径日均批发</w:t>
      </w:r>
      <w:r w:rsidRPr="005B6E47">
        <w:rPr>
          <w:rFonts w:ascii="宋体" w:eastAsia="宋体" w:hAnsi="宋体" w:cs="Times New Roman"/>
          <w:szCs w:val="21"/>
        </w:rPr>
        <w:t>5.</w:t>
      </w:r>
      <w:r w:rsidR="00643B4E" w:rsidRPr="005B6E47">
        <w:rPr>
          <w:rFonts w:ascii="宋体" w:eastAsia="宋体" w:hAnsi="宋体" w:cs="Times New Roman"/>
          <w:szCs w:val="21"/>
        </w:rPr>
        <w:t>2</w:t>
      </w:r>
      <w:r w:rsidR="00403779" w:rsidRPr="005B6E47">
        <w:rPr>
          <w:rFonts w:ascii="宋体" w:eastAsia="宋体" w:hAnsi="宋体" w:cs="Times New Roman"/>
          <w:szCs w:val="21"/>
        </w:rPr>
        <w:t>万辆</w:t>
      </w:r>
      <w:r w:rsidRPr="005B6E47">
        <w:rPr>
          <w:rFonts w:ascii="宋体" w:eastAsia="宋体" w:hAnsi="宋体" w:cs="Times New Roman"/>
          <w:szCs w:val="21"/>
        </w:rPr>
        <w:t>，同比</w:t>
      </w:r>
      <w:r w:rsidRPr="005B6E47">
        <w:rPr>
          <w:rFonts w:ascii="宋体" w:eastAsia="宋体" w:hAnsi="宋体" w:cs="Times New Roman" w:hint="eastAsia"/>
          <w:szCs w:val="21"/>
        </w:rPr>
        <w:t>下降</w:t>
      </w:r>
      <w:r w:rsidRPr="005B6E47">
        <w:rPr>
          <w:rFonts w:ascii="宋体" w:eastAsia="宋体" w:hAnsi="宋体" w:cs="Times New Roman"/>
          <w:szCs w:val="21"/>
        </w:rPr>
        <w:t>14</w:t>
      </w:r>
      <w:r w:rsidRPr="005B6E47">
        <w:rPr>
          <w:rFonts w:ascii="宋体" w:eastAsia="宋体" w:hAnsi="宋体" w:cs="Times New Roman" w:hint="eastAsia"/>
          <w:szCs w:val="21"/>
        </w:rPr>
        <w:t>%，本周相对于</w:t>
      </w:r>
      <w:r w:rsidRPr="005B6E47">
        <w:rPr>
          <w:rFonts w:ascii="宋体" w:eastAsia="宋体" w:hAnsi="宋体" w:cs="Times New Roman"/>
          <w:szCs w:val="21"/>
        </w:rPr>
        <w:t>10</w:t>
      </w:r>
      <w:r w:rsidRPr="005B6E47">
        <w:rPr>
          <w:rFonts w:ascii="宋体" w:eastAsia="宋体" w:hAnsi="宋体" w:cs="Times New Roman" w:hint="eastAsia"/>
          <w:szCs w:val="21"/>
        </w:rPr>
        <w:t>月第</w:t>
      </w:r>
      <w:r w:rsidR="0095428D">
        <w:rPr>
          <w:rFonts w:ascii="宋体" w:eastAsia="宋体" w:hAnsi="宋体" w:cs="Times New Roman" w:hint="eastAsia"/>
          <w:szCs w:val="21"/>
        </w:rPr>
        <w:t>二</w:t>
      </w:r>
      <w:r w:rsidRPr="005B6E47">
        <w:rPr>
          <w:rFonts w:ascii="宋体" w:eastAsia="宋体" w:hAnsi="宋体" w:cs="Times New Roman" w:hint="eastAsia"/>
          <w:szCs w:val="21"/>
        </w:rPr>
        <w:t>周的销量增长</w:t>
      </w:r>
      <w:r w:rsidRPr="005B6E47">
        <w:rPr>
          <w:rFonts w:ascii="宋体" w:eastAsia="宋体" w:hAnsi="宋体" w:cs="Times New Roman"/>
          <w:szCs w:val="21"/>
        </w:rPr>
        <w:t>16</w:t>
      </w:r>
      <w:r w:rsidRPr="005B6E47">
        <w:rPr>
          <w:rFonts w:ascii="宋体" w:eastAsia="宋体" w:hAnsi="宋体" w:cs="Times New Roman" w:hint="eastAsia"/>
          <w:szCs w:val="21"/>
        </w:rPr>
        <w:t>%</w:t>
      </w:r>
      <w:r w:rsidR="00A82749" w:rsidRPr="005B6E47">
        <w:rPr>
          <w:rFonts w:ascii="宋体" w:eastAsia="宋体" w:hAnsi="宋体" w:cs="Times New Roman" w:hint="eastAsia"/>
          <w:szCs w:val="21"/>
        </w:rPr>
        <w:t>，</w:t>
      </w:r>
      <w:r w:rsidRPr="005B6E47">
        <w:rPr>
          <w:rFonts w:ascii="宋体" w:eastAsia="宋体" w:hAnsi="宋体" w:cs="Times New Roman" w:hint="eastAsia"/>
          <w:szCs w:val="21"/>
        </w:rPr>
        <w:t>走势相对放缓。</w:t>
      </w:r>
    </w:p>
    <w:p w14:paraId="38968887" w14:textId="353B7625" w:rsidR="0000272B" w:rsidRPr="005B6E47" w:rsidRDefault="0000272B" w:rsidP="0000272B">
      <w:pPr>
        <w:ind w:firstLineChars="202" w:firstLine="424"/>
        <w:rPr>
          <w:rFonts w:ascii="宋体" w:eastAsia="宋体" w:hAnsi="宋体" w:cs="Times New Roman"/>
          <w:szCs w:val="21"/>
        </w:rPr>
      </w:pPr>
      <w:r w:rsidRPr="005B6E47">
        <w:rPr>
          <w:rFonts w:ascii="宋体" w:eastAsia="宋体" w:hAnsi="宋体" w:cs="Times New Roman" w:hint="eastAsia"/>
          <w:szCs w:val="21"/>
        </w:rPr>
        <w:t>1</w:t>
      </w:r>
      <w:r w:rsidRPr="005B6E47">
        <w:rPr>
          <w:rFonts w:ascii="宋体" w:eastAsia="宋体" w:hAnsi="宋体" w:cs="Times New Roman"/>
          <w:szCs w:val="21"/>
        </w:rPr>
        <w:t>1月工作日</w:t>
      </w:r>
      <w:r w:rsidRPr="005B6E47">
        <w:rPr>
          <w:rFonts w:ascii="宋体" w:eastAsia="宋体" w:hAnsi="宋体" w:cs="Times New Roman" w:hint="eastAsia"/>
          <w:szCs w:val="21"/>
        </w:rPr>
        <w:t>多</w:t>
      </w:r>
      <w:r w:rsidR="00A82749" w:rsidRPr="005B6E47">
        <w:rPr>
          <w:rFonts w:ascii="宋体" w:eastAsia="宋体" w:hAnsi="宋体" w:cs="Times New Roman" w:hint="eastAsia"/>
          <w:szCs w:val="21"/>
        </w:rPr>
        <w:t>于1</w:t>
      </w:r>
      <w:r w:rsidR="00A82749" w:rsidRPr="005B6E47">
        <w:rPr>
          <w:rFonts w:ascii="宋体" w:eastAsia="宋体" w:hAnsi="宋体" w:cs="Times New Roman"/>
          <w:szCs w:val="21"/>
        </w:rPr>
        <w:t>0</w:t>
      </w:r>
      <w:r w:rsidR="00A82749" w:rsidRPr="005B6E47">
        <w:rPr>
          <w:rFonts w:ascii="宋体" w:eastAsia="宋体" w:hAnsi="宋体" w:cs="Times New Roman" w:hint="eastAsia"/>
          <w:szCs w:val="21"/>
        </w:rPr>
        <w:t>月，</w:t>
      </w:r>
      <w:r w:rsidRPr="005B6E47">
        <w:rPr>
          <w:rFonts w:ascii="宋体" w:eastAsia="宋体" w:hAnsi="宋体" w:cs="Times New Roman"/>
          <w:szCs w:val="21"/>
        </w:rPr>
        <w:t>受芯片影响的产能</w:t>
      </w:r>
      <w:r w:rsidRPr="005B6E47">
        <w:rPr>
          <w:rFonts w:ascii="宋体" w:eastAsia="宋体" w:hAnsi="宋体" w:cs="Times New Roman" w:hint="eastAsia"/>
          <w:szCs w:val="21"/>
        </w:rPr>
        <w:t>逐步释放。目前各地有序用电，对汽车产业供应风险不大。由于对新能源积分的需求大量存在，</w:t>
      </w:r>
      <w:r w:rsidRPr="005B6E47">
        <w:rPr>
          <w:rFonts w:ascii="宋体" w:eastAsia="宋体" w:hAnsi="宋体" w:cs="Times New Roman"/>
          <w:szCs w:val="21"/>
        </w:rPr>
        <w:t>纯电动产品热度可持续到2021年底</w:t>
      </w:r>
      <w:r w:rsidRPr="005B6E47">
        <w:rPr>
          <w:rFonts w:ascii="宋体" w:eastAsia="宋体" w:hAnsi="宋体" w:cs="Times New Roman" w:hint="eastAsia"/>
          <w:szCs w:val="21"/>
        </w:rPr>
        <w:t>，因此新能源</w:t>
      </w:r>
      <w:r w:rsidR="00A82749" w:rsidRPr="005B6E47">
        <w:rPr>
          <w:rFonts w:ascii="宋体" w:eastAsia="宋体" w:hAnsi="宋体" w:cs="Times New Roman" w:hint="eastAsia"/>
          <w:szCs w:val="21"/>
        </w:rPr>
        <w:t>市场</w:t>
      </w:r>
      <w:r w:rsidRPr="005B6E47">
        <w:rPr>
          <w:rFonts w:ascii="宋体" w:eastAsia="宋体" w:hAnsi="宋体" w:cs="Times New Roman" w:hint="eastAsia"/>
          <w:szCs w:val="21"/>
        </w:rPr>
        <w:t>仍是相对较好的</w:t>
      </w:r>
      <w:r w:rsidRPr="005B6E47">
        <w:rPr>
          <w:rFonts w:ascii="宋体" w:eastAsia="宋体" w:hAnsi="宋体" w:cs="Times New Roman"/>
          <w:szCs w:val="21"/>
        </w:rPr>
        <w:t>。</w:t>
      </w:r>
    </w:p>
    <w:p w14:paraId="06CD197C" w14:textId="49C260DF" w:rsidR="00946C81" w:rsidRPr="005B6E47" w:rsidRDefault="00F87B31" w:rsidP="00F87B31">
      <w:pPr>
        <w:ind w:firstLineChars="202" w:firstLine="424"/>
        <w:rPr>
          <w:rFonts w:ascii="宋体" w:eastAsia="宋体" w:hAnsi="宋体" w:cs="Times New Roman"/>
          <w:szCs w:val="21"/>
        </w:rPr>
      </w:pPr>
      <w:r w:rsidRPr="005B6E47">
        <w:rPr>
          <w:rFonts w:ascii="宋体" w:eastAsia="宋体" w:hAnsi="宋体" w:cs="Times New Roman" w:hint="eastAsia"/>
          <w:szCs w:val="21"/>
        </w:rPr>
        <w:t>今年</w:t>
      </w:r>
      <w:r w:rsidRPr="005B6E47">
        <w:rPr>
          <w:rFonts w:ascii="宋体" w:eastAsia="宋体" w:hAnsi="宋体" w:cs="Times New Roman"/>
          <w:szCs w:val="21"/>
        </w:rPr>
        <w:t>11</w:t>
      </w:r>
      <w:r w:rsidRPr="005B6E47">
        <w:rPr>
          <w:rFonts w:ascii="宋体" w:eastAsia="宋体" w:hAnsi="宋体" w:cs="Times New Roman" w:hint="eastAsia"/>
          <w:szCs w:val="21"/>
        </w:rPr>
        <w:t>月初的</w:t>
      </w:r>
      <w:r w:rsidR="00A82749" w:rsidRPr="005B6E47">
        <w:rPr>
          <w:rFonts w:ascii="宋体" w:eastAsia="宋体" w:hAnsi="宋体" w:cs="Times New Roman" w:hint="eastAsia"/>
          <w:szCs w:val="21"/>
        </w:rPr>
        <w:t>厂商</w:t>
      </w:r>
      <w:r w:rsidRPr="005B6E47">
        <w:rPr>
          <w:rFonts w:ascii="宋体" w:eastAsia="宋体" w:hAnsi="宋体" w:cs="Times New Roman" w:hint="eastAsia"/>
          <w:szCs w:val="21"/>
        </w:rPr>
        <w:t>批发总体同比下降较大，</w:t>
      </w:r>
      <w:r w:rsidR="00EA653D" w:rsidRPr="005B6E47">
        <w:rPr>
          <w:rFonts w:ascii="宋体" w:eastAsia="宋体" w:hAnsi="宋体" w:cs="Times New Roman" w:hint="eastAsia"/>
          <w:szCs w:val="21"/>
        </w:rPr>
        <w:t>虽然芯片供给改善，</w:t>
      </w:r>
      <w:r w:rsidR="0000272B" w:rsidRPr="005B6E47">
        <w:rPr>
          <w:rFonts w:ascii="宋体" w:eastAsia="宋体" w:hAnsi="宋体" w:cs="Times New Roman" w:hint="eastAsia"/>
          <w:szCs w:val="21"/>
        </w:rPr>
        <w:t>环比</w:t>
      </w:r>
      <w:r w:rsidRPr="005B6E47">
        <w:rPr>
          <w:rFonts w:ascii="宋体" w:eastAsia="宋体" w:hAnsi="宋体" w:cs="Times New Roman" w:hint="eastAsia"/>
          <w:szCs w:val="21"/>
        </w:rPr>
        <w:t>1</w:t>
      </w:r>
      <w:r w:rsidRPr="005B6E47">
        <w:rPr>
          <w:rFonts w:ascii="宋体" w:eastAsia="宋体" w:hAnsi="宋体" w:cs="Times New Roman"/>
          <w:szCs w:val="21"/>
        </w:rPr>
        <w:t>0</w:t>
      </w:r>
      <w:r w:rsidRPr="005B6E47">
        <w:rPr>
          <w:rFonts w:ascii="宋体" w:eastAsia="宋体" w:hAnsi="宋体" w:cs="Times New Roman" w:hint="eastAsia"/>
          <w:szCs w:val="21"/>
        </w:rPr>
        <w:t>月的产销</w:t>
      </w:r>
      <w:r w:rsidR="0000272B" w:rsidRPr="005B6E47">
        <w:rPr>
          <w:rFonts w:ascii="宋体" w:eastAsia="宋体" w:hAnsi="宋体" w:cs="Times New Roman" w:hint="eastAsia"/>
          <w:szCs w:val="21"/>
        </w:rPr>
        <w:t>表现</w:t>
      </w:r>
      <w:r w:rsidRPr="005B6E47">
        <w:rPr>
          <w:rFonts w:ascii="宋体" w:eastAsia="宋体" w:hAnsi="宋体" w:cs="Times New Roman" w:hint="eastAsia"/>
          <w:szCs w:val="21"/>
        </w:rPr>
        <w:t>较强</w:t>
      </w:r>
      <w:r w:rsidR="0000272B" w:rsidRPr="005B6E47">
        <w:rPr>
          <w:rFonts w:ascii="宋体" w:eastAsia="宋体" w:hAnsi="宋体" w:cs="Times New Roman" w:hint="eastAsia"/>
          <w:szCs w:val="21"/>
        </w:rPr>
        <w:t>，</w:t>
      </w:r>
      <w:r w:rsidRPr="005B6E47">
        <w:rPr>
          <w:rFonts w:ascii="宋体" w:eastAsia="宋体" w:hAnsi="宋体" w:cs="Times New Roman" w:hint="eastAsia"/>
          <w:szCs w:val="21"/>
        </w:rPr>
        <w:t>目前生产供给明显改善</w:t>
      </w:r>
      <w:r w:rsidR="0000272B" w:rsidRPr="005B6E47">
        <w:rPr>
          <w:rFonts w:ascii="宋体" w:eastAsia="宋体" w:hAnsi="宋体" w:cs="Times New Roman" w:hint="eastAsia"/>
          <w:szCs w:val="21"/>
        </w:rPr>
        <w:t>，但相对去年同期的销量下降仍是较大</w:t>
      </w:r>
      <w:r w:rsidRPr="005B6E47">
        <w:rPr>
          <w:rFonts w:ascii="宋体" w:eastAsia="宋体" w:hAnsi="宋体" w:cs="Times New Roman" w:hint="eastAsia"/>
          <w:szCs w:val="21"/>
        </w:rPr>
        <w:t>。</w:t>
      </w:r>
    </w:p>
    <w:p w14:paraId="63512F2D" w14:textId="2FEFEAC2" w:rsidR="0000272B" w:rsidRPr="005B6E47" w:rsidRDefault="00946C81" w:rsidP="00F87B31">
      <w:pPr>
        <w:ind w:firstLineChars="202" w:firstLine="424"/>
        <w:rPr>
          <w:rFonts w:ascii="宋体" w:eastAsia="宋体" w:hAnsi="宋体" w:cs="Times New Roman"/>
          <w:szCs w:val="21"/>
        </w:rPr>
      </w:pPr>
      <w:r w:rsidRPr="005B6E47">
        <w:rPr>
          <w:rFonts w:ascii="宋体" w:eastAsia="宋体" w:hAnsi="宋体" w:cs="Times New Roman" w:hint="eastAsia"/>
          <w:szCs w:val="21"/>
        </w:rPr>
        <w:t>燃油车由于销量的惯性，仍然有增长的空间，四五线城市可以由共同富裕的目标带动收入增长，有可能拉动首购的市场。</w:t>
      </w:r>
      <w:r w:rsidR="0000272B" w:rsidRPr="005B6E47">
        <w:rPr>
          <w:rFonts w:ascii="宋体" w:eastAsia="宋体" w:hAnsi="宋体" w:cs="Times New Roman" w:hint="eastAsia"/>
          <w:szCs w:val="21"/>
        </w:rPr>
        <w:t>由于</w:t>
      </w:r>
      <w:r w:rsidR="00886733">
        <w:rPr>
          <w:rFonts w:ascii="宋体" w:eastAsia="宋体" w:hAnsi="宋体" w:cs="Times New Roman" w:hint="eastAsia"/>
          <w:szCs w:val="21"/>
        </w:rPr>
        <w:t>部分</w:t>
      </w:r>
      <w:r w:rsidR="0000272B" w:rsidRPr="005B6E47">
        <w:rPr>
          <w:rFonts w:ascii="宋体" w:eastAsia="宋体" w:hAnsi="宋体" w:cs="Times New Roman" w:hint="eastAsia"/>
          <w:szCs w:val="21"/>
        </w:rPr>
        <w:t>地方政策在</w:t>
      </w:r>
      <w:r w:rsidR="0000272B" w:rsidRPr="005B6E47">
        <w:rPr>
          <w:rFonts w:ascii="宋体" w:eastAsia="宋体" w:hAnsi="宋体" w:cs="Times New Roman"/>
          <w:szCs w:val="21"/>
        </w:rPr>
        <w:t>12月份到期，加之今年春节提前，催化11月、12月终端需求的热度</w:t>
      </w:r>
      <w:r w:rsidRPr="005B6E47">
        <w:rPr>
          <w:rFonts w:ascii="宋体" w:eastAsia="宋体" w:hAnsi="宋体" w:cs="Times New Roman" w:hint="eastAsia"/>
          <w:szCs w:val="21"/>
        </w:rPr>
        <w:t>。</w:t>
      </w:r>
    </w:p>
    <w:p w14:paraId="0BD097A1" w14:textId="77777777" w:rsidR="00EA49ED" w:rsidRPr="00F87B31" w:rsidRDefault="00EA49ED" w:rsidP="00EA49ED">
      <w:pPr>
        <w:ind w:firstLineChars="135" w:firstLine="283"/>
        <w:rPr>
          <w:rFonts w:ascii="Calibri" w:eastAsia="宋体" w:hAnsi="Calibri" w:cs="Times New Roman"/>
          <w:szCs w:val="21"/>
        </w:rPr>
      </w:pPr>
    </w:p>
    <w:p w14:paraId="5C55A0A7" w14:textId="2F4569B8" w:rsidR="00EA49ED" w:rsidRPr="002009FE" w:rsidRDefault="009E7D84" w:rsidP="00EA49ED">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电池产业扩张大幅加速</w:t>
      </w:r>
    </w:p>
    <w:p w14:paraId="3C3EC3BD" w14:textId="77777777" w:rsidR="00790A6A" w:rsidRPr="005B6E47" w:rsidRDefault="009E7D84" w:rsidP="00790A6A">
      <w:pPr>
        <w:ind w:firstLineChars="202" w:firstLine="424"/>
        <w:rPr>
          <w:rFonts w:ascii="宋体" w:eastAsia="宋体" w:hAnsi="宋体" w:cs="宋体"/>
          <w:szCs w:val="21"/>
        </w:rPr>
      </w:pPr>
      <w:r w:rsidRPr="005B6E47">
        <w:rPr>
          <w:rFonts w:ascii="宋体" w:eastAsia="宋体" w:hAnsi="宋体" w:cs="宋体" w:hint="eastAsia"/>
          <w:szCs w:val="21"/>
        </w:rPr>
        <w:t>从近期的行业信息可以看到，目前的国内电池企业快速扩张，产能增长迅猛。</w:t>
      </w:r>
    </w:p>
    <w:p w14:paraId="3584DB0D" w14:textId="39651F9E" w:rsidR="00790A6A" w:rsidRPr="005B6E47" w:rsidRDefault="009E7D84" w:rsidP="00790A6A">
      <w:pPr>
        <w:ind w:firstLineChars="202" w:firstLine="424"/>
        <w:rPr>
          <w:rFonts w:ascii="宋体" w:eastAsia="宋体" w:hAnsi="宋体" w:cs="宋体"/>
          <w:szCs w:val="21"/>
        </w:rPr>
      </w:pPr>
      <w:r w:rsidRPr="005B6E47">
        <w:rPr>
          <w:rFonts w:ascii="宋体" w:eastAsia="宋体" w:hAnsi="宋体" w:cs="宋体" w:hint="eastAsia"/>
          <w:szCs w:val="21"/>
        </w:rPr>
        <w:t>不完全统计，目前国内动力电池竞争力</w:t>
      </w:r>
      <w:r w:rsidRPr="005B6E47">
        <w:rPr>
          <w:rFonts w:ascii="宋体" w:eastAsia="宋体" w:hAnsi="宋体" w:cs="宋体"/>
          <w:szCs w:val="21"/>
        </w:rPr>
        <w:t>TOP10企业规划产能合计已接近20</w:t>
      </w:r>
      <w:r w:rsidR="00790A6A" w:rsidRPr="005B6E47">
        <w:rPr>
          <w:rFonts w:ascii="宋体" w:eastAsia="宋体" w:hAnsi="宋体" w:cs="宋体" w:hint="eastAsia"/>
          <w:szCs w:val="21"/>
        </w:rPr>
        <w:t>亿度电，应该有6</w:t>
      </w:r>
      <w:r w:rsidR="00790A6A" w:rsidRPr="005B6E47">
        <w:rPr>
          <w:rFonts w:ascii="宋体" w:eastAsia="宋体" w:hAnsi="宋体" w:cs="宋体"/>
          <w:szCs w:val="21"/>
        </w:rPr>
        <w:t>0</w:t>
      </w:r>
      <w:r w:rsidR="00CA029F" w:rsidRPr="005B6E47">
        <w:rPr>
          <w:rFonts w:ascii="宋体" w:eastAsia="宋体" w:hAnsi="宋体" w:cs="宋体" w:hint="eastAsia"/>
          <w:szCs w:val="21"/>
        </w:rPr>
        <w:t>万</w:t>
      </w:r>
      <w:r w:rsidR="00790A6A" w:rsidRPr="005B6E47">
        <w:rPr>
          <w:rFonts w:ascii="宋体" w:eastAsia="宋体" w:hAnsi="宋体" w:cs="宋体" w:hint="eastAsia"/>
          <w:szCs w:val="21"/>
        </w:rPr>
        <w:t>亿左右的投资，可以理解为</w:t>
      </w:r>
      <w:r w:rsidR="00CA029F" w:rsidRPr="005B6E47">
        <w:rPr>
          <w:rFonts w:ascii="宋体" w:eastAsia="宋体" w:hAnsi="宋体" w:cs="宋体" w:hint="eastAsia"/>
          <w:szCs w:val="21"/>
        </w:rPr>
        <w:t>能够满足</w:t>
      </w:r>
      <w:r w:rsidR="00790A6A" w:rsidRPr="005B6E47">
        <w:rPr>
          <w:rFonts w:ascii="宋体" w:eastAsia="宋体" w:hAnsi="宋体" w:cs="宋体"/>
          <w:szCs w:val="21"/>
        </w:rPr>
        <w:t>4</w:t>
      </w:r>
      <w:r w:rsidR="00790A6A" w:rsidRPr="005B6E47">
        <w:rPr>
          <w:rFonts w:ascii="宋体" w:eastAsia="宋体" w:hAnsi="宋体" w:cs="宋体" w:hint="eastAsia"/>
          <w:szCs w:val="21"/>
        </w:rPr>
        <w:t>千</w:t>
      </w:r>
      <w:r w:rsidR="00403779" w:rsidRPr="005B6E47">
        <w:rPr>
          <w:rFonts w:ascii="宋体" w:eastAsia="宋体" w:hAnsi="宋体" w:cs="宋体" w:hint="eastAsia"/>
          <w:szCs w:val="21"/>
        </w:rPr>
        <w:t>万辆</w:t>
      </w:r>
      <w:r w:rsidR="00790A6A" w:rsidRPr="005B6E47">
        <w:rPr>
          <w:rFonts w:ascii="宋体" w:eastAsia="宋体" w:hAnsi="宋体" w:cs="宋体" w:hint="eastAsia"/>
          <w:szCs w:val="21"/>
        </w:rPr>
        <w:t>续航3</w:t>
      </w:r>
      <w:r w:rsidR="00790A6A" w:rsidRPr="005B6E47">
        <w:rPr>
          <w:rFonts w:ascii="宋体" w:eastAsia="宋体" w:hAnsi="宋体" w:cs="宋体"/>
          <w:szCs w:val="21"/>
        </w:rPr>
        <w:t>50</w:t>
      </w:r>
      <w:r w:rsidR="00790A6A" w:rsidRPr="005B6E47">
        <w:rPr>
          <w:rFonts w:ascii="宋体" w:eastAsia="宋体" w:hAnsi="宋体" w:cs="宋体" w:hint="eastAsia"/>
          <w:szCs w:val="21"/>
        </w:rPr>
        <w:t>公里的电动乘用车的用电需求</w:t>
      </w:r>
      <w:r w:rsidR="00EA49ED" w:rsidRPr="005B6E47">
        <w:rPr>
          <w:rFonts w:ascii="宋体" w:eastAsia="宋体" w:hAnsi="宋体" w:cs="宋体" w:hint="eastAsia"/>
          <w:szCs w:val="21"/>
        </w:rPr>
        <w:t>。</w:t>
      </w:r>
      <w:r w:rsidR="00790A6A" w:rsidRPr="005B6E47">
        <w:rPr>
          <w:rFonts w:ascii="宋体" w:eastAsia="宋体" w:hAnsi="宋体" w:cs="宋体" w:hint="eastAsia"/>
          <w:szCs w:val="21"/>
        </w:rPr>
        <w:t>据统计</w:t>
      </w:r>
      <w:r w:rsidR="00790A6A" w:rsidRPr="005B6E47">
        <w:rPr>
          <w:rFonts w:ascii="宋体" w:eastAsia="宋体" w:hAnsi="宋体" w:cs="宋体"/>
          <w:szCs w:val="21"/>
        </w:rPr>
        <w:t>10月，我国</w:t>
      </w:r>
      <w:r w:rsidR="00790A6A" w:rsidRPr="005B6E47">
        <w:rPr>
          <w:rFonts w:ascii="宋体" w:eastAsia="宋体" w:hAnsi="宋体" w:cs="宋体" w:hint="eastAsia"/>
          <w:szCs w:val="21"/>
        </w:rPr>
        <w:t>内资企业</w:t>
      </w:r>
      <w:r w:rsidR="00790A6A" w:rsidRPr="005B6E47">
        <w:rPr>
          <w:rFonts w:ascii="宋体" w:eastAsia="宋体" w:hAnsi="宋体" w:cs="宋体"/>
          <w:szCs w:val="21"/>
        </w:rPr>
        <w:t>动力电池产量共计25.1GWh</w:t>
      </w:r>
      <w:r w:rsidR="00790A6A" w:rsidRPr="005B6E47">
        <w:rPr>
          <w:rFonts w:ascii="宋体" w:eastAsia="宋体" w:hAnsi="宋体" w:cs="宋体" w:hint="eastAsia"/>
          <w:szCs w:val="21"/>
        </w:rPr>
        <w:t>，全年折算3</w:t>
      </w:r>
      <w:r w:rsidR="00790A6A" w:rsidRPr="005B6E47">
        <w:rPr>
          <w:rFonts w:ascii="宋体" w:eastAsia="宋体" w:hAnsi="宋体" w:cs="宋体"/>
          <w:szCs w:val="21"/>
        </w:rPr>
        <w:t>00 GWh</w:t>
      </w:r>
      <w:r w:rsidR="00790A6A" w:rsidRPr="005B6E47">
        <w:rPr>
          <w:rFonts w:ascii="宋体" w:eastAsia="宋体" w:hAnsi="宋体" w:cs="宋体" w:hint="eastAsia"/>
          <w:szCs w:val="21"/>
        </w:rPr>
        <w:t>，相对于2</w:t>
      </w:r>
      <w:r w:rsidR="00790A6A" w:rsidRPr="005B6E47">
        <w:rPr>
          <w:rFonts w:ascii="宋体" w:eastAsia="宋体" w:hAnsi="宋体" w:cs="宋体"/>
          <w:szCs w:val="21"/>
        </w:rPr>
        <w:t>000 GWh</w:t>
      </w:r>
      <w:r w:rsidR="00790A6A" w:rsidRPr="005B6E47">
        <w:rPr>
          <w:rFonts w:ascii="宋体" w:eastAsia="宋体" w:hAnsi="宋体" w:cs="宋体" w:hint="eastAsia"/>
          <w:szCs w:val="21"/>
        </w:rPr>
        <w:t>的规划，我们的产业布局是很有前瞻性的。</w:t>
      </w:r>
    </w:p>
    <w:p w14:paraId="22FFE705" w14:textId="3AA50F3E" w:rsidR="00790A6A" w:rsidRPr="005B6E47" w:rsidRDefault="00790A6A" w:rsidP="00790A6A">
      <w:pPr>
        <w:ind w:firstLineChars="202" w:firstLine="424"/>
        <w:rPr>
          <w:rFonts w:ascii="宋体" w:eastAsia="宋体" w:hAnsi="宋体" w:cs="宋体"/>
          <w:szCs w:val="21"/>
        </w:rPr>
      </w:pPr>
      <w:r w:rsidRPr="005B6E47">
        <w:rPr>
          <w:rFonts w:ascii="宋体" w:eastAsia="宋体" w:hAnsi="宋体" w:cs="宋体" w:hint="eastAsia"/>
          <w:szCs w:val="21"/>
        </w:rPr>
        <w:t>这还不包括特斯拉、L</w:t>
      </w:r>
      <w:r w:rsidRPr="005B6E47">
        <w:rPr>
          <w:rFonts w:ascii="宋体" w:eastAsia="宋体" w:hAnsi="宋体" w:cs="宋体"/>
          <w:szCs w:val="21"/>
        </w:rPr>
        <w:t>G</w:t>
      </w:r>
      <w:r w:rsidR="00CA029F" w:rsidRPr="005B6E47">
        <w:rPr>
          <w:rFonts w:ascii="宋体" w:eastAsia="宋体" w:hAnsi="宋体" w:cs="宋体" w:hint="eastAsia"/>
          <w:szCs w:val="21"/>
        </w:rPr>
        <w:t>、</w:t>
      </w:r>
      <w:r w:rsidRPr="005B6E47">
        <w:rPr>
          <w:rFonts w:ascii="宋体" w:eastAsia="宋体" w:hAnsi="宋体" w:cs="宋体"/>
          <w:szCs w:val="21"/>
        </w:rPr>
        <w:t>SKI</w:t>
      </w:r>
      <w:r w:rsidRPr="005B6E47">
        <w:rPr>
          <w:rFonts w:ascii="宋体" w:eastAsia="宋体" w:hAnsi="宋体" w:cs="宋体" w:hint="eastAsia"/>
          <w:szCs w:val="21"/>
        </w:rPr>
        <w:t>等外资企业的未来电池布局。加之原有的在产产能，电池行业的全产业链将成为投资热土。</w:t>
      </w:r>
    </w:p>
    <w:p w14:paraId="5C01041A" w14:textId="50E801F6" w:rsidR="00EA49ED" w:rsidRPr="005B6E47" w:rsidRDefault="00790A6A" w:rsidP="00790A6A">
      <w:pPr>
        <w:ind w:firstLineChars="202" w:firstLine="424"/>
        <w:rPr>
          <w:rFonts w:ascii="宋体" w:eastAsia="宋体" w:hAnsi="宋体" w:cs="宋体"/>
          <w:szCs w:val="21"/>
        </w:rPr>
      </w:pPr>
      <w:r w:rsidRPr="005B6E47">
        <w:rPr>
          <w:rFonts w:ascii="宋体" w:eastAsia="宋体" w:hAnsi="宋体" w:cs="宋体" w:hint="eastAsia"/>
          <w:szCs w:val="21"/>
        </w:rPr>
        <w:t>这些锂电池的投资应该可以够传统燃油车3</w:t>
      </w:r>
      <w:r w:rsidRPr="005B6E47">
        <w:rPr>
          <w:rFonts w:ascii="宋体" w:eastAsia="宋体" w:hAnsi="宋体" w:cs="宋体"/>
          <w:szCs w:val="21"/>
        </w:rPr>
        <w:t>000</w:t>
      </w:r>
      <w:r w:rsidR="00403779" w:rsidRPr="005B6E47">
        <w:rPr>
          <w:rFonts w:ascii="宋体" w:eastAsia="宋体" w:hAnsi="宋体" w:cs="宋体" w:hint="eastAsia"/>
          <w:szCs w:val="21"/>
        </w:rPr>
        <w:t>万辆</w:t>
      </w:r>
      <w:r w:rsidRPr="005B6E47">
        <w:rPr>
          <w:rFonts w:ascii="宋体" w:eastAsia="宋体" w:hAnsi="宋体" w:cs="宋体" w:hint="eastAsia"/>
          <w:szCs w:val="21"/>
        </w:rPr>
        <w:t>的产能利用，这也是很宏伟的投资规划。随着产能扩张，未来的电池价格必然大幅下降，这也是很好的充分竞争</w:t>
      </w:r>
      <w:r w:rsidR="00CA029F" w:rsidRPr="005B6E47">
        <w:rPr>
          <w:rFonts w:ascii="宋体" w:eastAsia="宋体" w:hAnsi="宋体" w:cs="宋体" w:hint="eastAsia"/>
          <w:szCs w:val="21"/>
        </w:rPr>
        <w:t>，</w:t>
      </w:r>
      <w:r w:rsidRPr="005B6E47">
        <w:rPr>
          <w:rFonts w:ascii="宋体" w:eastAsia="宋体" w:hAnsi="宋体" w:cs="宋体" w:hint="eastAsia"/>
          <w:szCs w:val="21"/>
        </w:rPr>
        <w:t>降低售价的举措。相信随着储能、电动车等项目的全面推进，中国的锂电池产业的发展将是世界规模领先的。</w:t>
      </w:r>
    </w:p>
    <w:p w14:paraId="472BC8DF" w14:textId="6FA01999" w:rsidR="0000272B" w:rsidRPr="005B6E47" w:rsidRDefault="00790A6A" w:rsidP="00CA029F">
      <w:pPr>
        <w:ind w:firstLineChars="202" w:firstLine="424"/>
        <w:rPr>
          <w:rFonts w:ascii="宋体" w:eastAsia="宋体" w:hAnsi="宋体" w:cs="宋体"/>
          <w:szCs w:val="21"/>
        </w:rPr>
      </w:pPr>
      <w:r w:rsidRPr="005B6E47">
        <w:rPr>
          <w:rFonts w:ascii="宋体" w:eastAsia="宋体" w:hAnsi="宋体" w:cs="宋体" w:hint="eastAsia"/>
          <w:szCs w:val="21"/>
        </w:rPr>
        <w:t>与这些产业项目配套的是锂矿等资源的全面布局和提早扩产，由此会带来世界范围的锂矿投资热潮。</w:t>
      </w:r>
    </w:p>
    <w:p w14:paraId="22C16FB7" w14:textId="77777777" w:rsidR="0000272B" w:rsidRPr="002009FE" w:rsidRDefault="0000272B" w:rsidP="0000272B">
      <w:pPr>
        <w:numPr>
          <w:ilvl w:val="0"/>
          <w:numId w:val="2"/>
        </w:numPr>
        <w:outlineLvl w:val="1"/>
        <w:rPr>
          <w:rFonts w:ascii="黑体" w:eastAsia="黑体" w:hAnsi="黑体" w:cs="黑体"/>
          <w:bCs/>
          <w:sz w:val="24"/>
        </w:rPr>
      </w:pPr>
      <w:r w:rsidRPr="00225655">
        <w:rPr>
          <w:rFonts w:ascii="黑体" w:eastAsia="黑体" w:hAnsi="黑体" w:cs="黑体" w:hint="eastAsia"/>
          <w:bCs/>
          <w:sz w:val="24"/>
        </w:rPr>
        <w:t>乘用车市场芯片供给最黑暗时刻已经过去</w:t>
      </w:r>
    </w:p>
    <w:p w14:paraId="39B2999D" w14:textId="1BACA7B9" w:rsidR="005B6E47" w:rsidRDefault="0000272B" w:rsidP="005B6E47">
      <w:pPr>
        <w:ind w:firstLineChars="200" w:firstLine="420"/>
        <w:rPr>
          <w:rFonts w:ascii="宋体" w:eastAsia="宋体" w:hAnsi="宋体" w:cs="黑体"/>
          <w:bCs/>
          <w:szCs w:val="21"/>
        </w:rPr>
      </w:pPr>
      <w:r w:rsidRPr="005B6E47">
        <w:rPr>
          <w:rFonts w:ascii="宋体" w:eastAsia="宋体" w:hAnsi="宋体" w:cs="黑体"/>
          <w:bCs/>
          <w:szCs w:val="21"/>
        </w:rPr>
        <w:t>10月乘用车生产196万辆，同比下降4.1%。1-10月累计生产1626万辆，同比增长9.3%。其中新能源车的生产始终保持强势增长态势，近几个月基本没有受到芯片供给太大影响。传统车受到芯片供给影响主要是9月的损失巨大，与马来西亚疫情的爆发时间基本一致，在10月的传统车供给有所改善。</w:t>
      </w:r>
    </w:p>
    <w:p w14:paraId="45F323AE" w14:textId="35B2079D" w:rsidR="005B6E47" w:rsidRDefault="0000272B" w:rsidP="005B6E47">
      <w:pPr>
        <w:ind w:firstLineChars="200" w:firstLine="420"/>
        <w:rPr>
          <w:rFonts w:ascii="宋体" w:eastAsia="宋体" w:hAnsi="宋体" w:cs="黑体"/>
          <w:bCs/>
          <w:szCs w:val="21"/>
        </w:rPr>
      </w:pPr>
      <w:r w:rsidRPr="005B6E47">
        <w:rPr>
          <w:rFonts w:ascii="宋体" w:eastAsia="宋体" w:hAnsi="宋体" w:cs="黑体" w:hint="eastAsia"/>
          <w:bCs/>
          <w:szCs w:val="21"/>
        </w:rPr>
        <w:t>由于芯片供给情况不透明，欧洲和北美车企</w:t>
      </w:r>
      <w:r w:rsidRPr="005B6E47">
        <w:rPr>
          <w:rFonts w:ascii="宋体" w:eastAsia="宋体" w:hAnsi="宋体" w:cs="黑体"/>
          <w:bCs/>
          <w:szCs w:val="21"/>
        </w:rPr>
        <w:t>10月产销仍很差。预计到年底</w:t>
      </w:r>
      <w:r w:rsidR="005B6E47">
        <w:rPr>
          <w:rFonts w:ascii="宋体" w:eastAsia="宋体" w:hAnsi="宋体" w:cs="黑体" w:hint="eastAsia"/>
          <w:bCs/>
          <w:szCs w:val="21"/>
        </w:rPr>
        <w:t>芯片供给</w:t>
      </w:r>
      <w:r w:rsidRPr="005B6E47">
        <w:rPr>
          <w:rFonts w:ascii="宋体" w:eastAsia="宋体" w:hAnsi="宋体" w:cs="黑体"/>
          <w:bCs/>
          <w:szCs w:val="21"/>
        </w:rPr>
        <w:t>均有压力，芯片短缺的种类主要是燃油车，目前看芯片问题对合资</w:t>
      </w:r>
      <w:r w:rsidR="005B6E47">
        <w:rPr>
          <w:rFonts w:ascii="宋体" w:eastAsia="宋体" w:hAnsi="宋体" w:cs="黑体" w:hint="eastAsia"/>
          <w:bCs/>
          <w:szCs w:val="21"/>
        </w:rPr>
        <w:t>品牌</w:t>
      </w:r>
      <w:r w:rsidRPr="005B6E47">
        <w:rPr>
          <w:rFonts w:ascii="宋体" w:eastAsia="宋体" w:hAnsi="宋体" w:cs="黑体"/>
          <w:bCs/>
          <w:szCs w:val="21"/>
        </w:rPr>
        <w:t>影响更大一些，自主</w:t>
      </w:r>
      <w:r w:rsidR="005B6E47">
        <w:rPr>
          <w:rFonts w:ascii="宋体" w:eastAsia="宋体" w:hAnsi="宋体" w:cs="黑体" w:hint="eastAsia"/>
          <w:bCs/>
          <w:szCs w:val="21"/>
        </w:rPr>
        <w:t>品牌</w:t>
      </w:r>
      <w:r w:rsidRPr="005B6E47">
        <w:rPr>
          <w:rFonts w:ascii="宋体" w:eastAsia="宋体" w:hAnsi="宋体" w:cs="黑体"/>
          <w:bCs/>
          <w:szCs w:val="21"/>
        </w:rPr>
        <w:t>可以通过供给的灵活调整而填补</w:t>
      </w:r>
      <w:r w:rsidR="005B6E47">
        <w:rPr>
          <w:rFonts w:ascii="宋体" w:eastAsia="宋体" w:hAnsi="宋体" w:cs="黑体" w:hint="eastAsia"/>
          <w:bCs/>
          <w:szCs w:val="21"/>
        </w:rPr>
        <w:t>。</w:t>
      </w:r>
    </w:p>
    <w:p w14:paraId="631A3615" w14:textId="09DAECDA" w:rsidR="0000272B" w:rsidRPr="005B6E47" w:rsidRDefault="0000272B" w:rsidP="005B6E47">
      <w:pPr>
        <w:ind w:firstLineChars="200" w:firstLine="420"/>
        <w:rPr>
          <w:rFonts w:ascii="宋体" w:eastAsia="宋体" w:hAnsi="宋体" w:cs="黑体"/>
          <w:bCs/>
          <w:szCs w:val="21"/>
        </w:rPr>
      </w:pPr>
      <w:r w:rsidRPr="005B6E47">
        <w:rPr>
          <w:rFonts w:ascii="宋体" w:eastAsia="宋体" w:hAnsi="宋体" w:cs="黑体" w:hint="eastAsia"/>
          <w:bCs/>
          <w:szCs w:val="21"/>
        </w:rPr>
        <w:t>目前看，四季度库存持续补不上去，造成年底冲量的困难，有部分需求转移到</w:t>
      </w:r>
      <w:r w:rsidRPr="005B6E47">
        <w:rPr>
          <w:rFonts w:ascii="宋体" w:eastAsia="宋体" w:hAnsi="宋体" w:cs="黑体"/>
          <w:bCs/>
          <w:szCs w:val="21"/>
        </w:rPr>
        <w:t>2022年。综合看需要下调2021年预测，芯片供给回复缓慢，四季度车型供应将受到较大影响，对零售有不利影响。认为2021年的预测会下调3个点左右</w:t>
      </w:r>
      <w:r w:rsidRPr="005B6E47">
        <w:rPr>
          <w:rFonts w:ascii="宋体" w:eastAsia="宋体" w:hAnsi="宋体" w:cs="黑体" w:hint="eastAsia"/>
          <w:bCs/>
          <w:szCs w:val="21"/>
        </w:rPr>
        <w:t>。</w:t>
      </w:r>
    </w:p>
    <w:p w14:paraId="2E0746B1" w14:textId="77777777" w:rsidR="00EA49ED" w:rsidRPr="002009FE" w:rsidRDefault="00EA49ED" w:rsidP="00EA49ED">
      <w:pPr>
        <w:ind w:firstLineChars="270" w:firstLine="567"/>
        <w:rPr>
          <w:rFonts w:ascii="Calibri" w:eastAsia="宋体" w:hAnsi="Calibri" w:cs="Times New Roman"/>
          <w:szCs w:val="21"/>
        </w:rPr>
      </w:pPr>
    </w:p>
    <w:p w14:paraId="682FC7B2" w14:textId="3FB1A98A" w:rsidR="00EA49ED" w:rsidRPr="002009FE" w:rsidRDefault="00790A6A" w:rsidP="00EA49ED">
      <w:pPr>
        <w:numPr>
          <w:ilvl w:val="0"/>
          <w:numId w:val="2"/>
        </w:numPr>
        <w:outlineLvl w:val="1"/>
        <w:rPr>
          <w:rFonts w:ascii="黑体" w:eastAsia="黑体" w:hAnsi="黑体" w:cs="Times New Roman"/>
          <w:bCs/>
          <w:sz w:val="24"/>
        </w:rPr>
      </w:pPr>
      <w:r>
        <w:rPr>
          <w:rFonts w:ascii="黑体" w:eastAsia="黑体" w:hAnsi="黑体" w:cs="Times New Roman" w:hint="eastAsia"/>
          <w:bCs/>
          <w:sz w:val="24"/>
        </w:rPr>
        <w:t>中国二手车出口</w:t>
      </w:r>
      <w:r w:rsidR="003C172C">
        <w:rPr>
          <w:rFonts w:ascii="黑体" w:eastAsia="黑体" w:hAnsi="黑体" w:cs="Times New Roman" w:hint="eastAsia"/>
          <w:bCs/>
          <w:sz w:val="24"/>
        </w:rPr>
        <w:t>今年发展较快</w:t>
      </w:r>
    </w:p>
    <w:p w14:paraId="0C0CD7E0" w14:textId="3C444404" w:rsidR="00EA49ED" w:rsidRPr="00CF2EC4" w:rsidRDefault="00790A6A" w:rsidP="00CF2EC4">
      <w:pPr>
        <w:ind w:firstLineChars="200" w:firstLine="420"/>
        <w:rPr>
          <w:rFonts w:ascii="宋体" w:eastAsia="宋体" w:hAnsi="宋体" w:cs="黑体"/>
          <w:bCs/>
          <w:szCs w:val="21"/>
        </w:rPr>
      </w:pPr>
      <w:r w:rsidRPr="00CF2EC4">
        <w:rPr>
          <w:rFonts w:ascii="宋体" w:eastAsia="宋体" w:hAnsi="宋体" w:cs="黑体" w:hint="eastAsia"/>
          <w:bCs/>
          <w:szCs w:val="21"/>
        </w:rPr>
        <w:t>自</w:t>
      </w:r>
      <w:r w:rsidRPr="00CF2EC4">
        <w:rPr>
          <w:rFonts w:ascii="宋体" w:eastAsia="宋体" w:hAnsi="宋体" w:cs="黑体"/>
          <w:bCs/>
          <w:szCs w:val="21"/>
        </w:rPr>
        <w:t>2019年4月，我国启动二手车出口业务以来，截至</w:t>
      </w:r>
      <w:r w:rsidR="00CF2EC4" w:rsidRPr="00CF2EC4">
        <w:rPr>
          <w:rFonts w:ascii="宋体" w:eastAsia="宋体" w:hAnsi="宋体" w:cs="黑体" w:hint="eastAsia"/>
          <w:bCs/>
          <w:szCs w:val="21"/>
        </w:rPr>
        <w:t>今年</w:t>
      </w:r>
      <w:r w:rsidRPr="00CF2EC4">
        <w:rPr>
          <w:rFonts w:ascii="宋体" w:eastAsia="宋体" w:hAnsi="宋体" w:cs="黑体"/>
          <w:bCs/>
          <w:szCs w:val="21"/>
        </w:rPr>
        <w:t>9月已累计出口1.4万辆，出口金额突破1亿美元，销往全球102个国家和地区。尤其是今年前三个季度，实现二手车出口6816辆，金额7217.2万美元，同比分别增长1.4倍和4.2倍；车辆平均单价1.1万美元，同比增长1.1倍。</w:t>
      </w:r>
    </w:p>
    <w:p w14:paraId="2657D46F" w14:textId="1C4DE924" w:rsidR="00EA49ED" w:rsidRPr="00CF2EC4" w:rsidRDefault="003C172C" w:rsidP="00CF2EC4">
      <w:pPr>
        <w:ind w:firstLineChars="200" w:firstLine="420"/>
        <w:rPr>
          <w:rFonts w:ascii="宋体" w:eastAsia="宋体" w:hAnsi="宋体" w:cs="黑体"/>
          <w:bCs/>
          <w:szCs w:val="21"/>
        </w:rPr>
      </w:pPr>
      <w:r w:rsidRPr="00CF2EC4">
        <w:rPr>
          <w:rFonts w:ascii="宋体" w:eastAsia="宋体" w:hAnsi="宋体" w:cs="黑体" w:hint="eastAsia"/>
          <w:bCs/>
          <w:szCs w:val="21"/>
        </w:rPr>
        <w:t>由于芯片的短缺和国际二手车价格的回升，中国二手车出口有很好的国际需求环境，海外竞争因为缺车而不激烈，因此今年</w:t>
      </w:r>
      <w:r w:rsidRPr="00CF2EC4">
        <w:rPr>
          <w:rFonts w:ascii="宋体" w:eastAsia="宋体" w:hAnsi="宋体" w:cs="黑体"/>
          <w:bCs/>
          <w:szCs w:val="21"/>
        </w:rPr>
        <w:t>中国二手车出口发展较快</w:t>
      </w:r>
      <w:r w:rsidRPr="00CF2EC4">
        <w:rPr>
          <w:rFonts w:ascii="宋体" w:eastAsia="宋体" w:hAnsi="宋体" w:cs="黑体" w:hint="eastAsia"/>
          <w:bCs/>
          <w:szCs w:val="21"/>
        </w:rPr>
        <w:t>。从产业发展的历史看，我们的燃油车出口面临较多售后等压力，仍需要电动车实现出口的良好发展，才能有效做大国际市场规模。</w:t>
      </w:r>
    </w:p>
    <w:p w14:paraId="127D5BE7" w14:textId="77777777" w:rsidR="00EA49ED" w:rsidRPr="00066AF4" w:rsidRDefault="00EA49ED" w:rsidP="00EA49ED">
      <w:pPr>
        <w:rPr>
          <w:rFonts w:asciiTheme="minorEastAsia" w:hAnsiTheme="minorEastAsia" w:cs="黑体"/>
          <w:bCs/>
          <w:szCs w:val="21"/>
        </w:rPr>
      </w:pPr>
    </w:p>
    <w:p w14:paraId="6E3B5B85" w14:textId="77777777" w:rsidR="00EA49ED" w:rsidRPr="00044A32" w:rsidRDefault="00EA49ED" w:rsidP="00EA49ED">
      <w:pPr>
        <w:outlineLvl w:val="0"/>
        <w:rPr>
          <w:b/>
        </w:rPr>
      </w:pPr>
      <w:r w:rsidRPr="00044A32">
        <w:rPr>
          <w:rFonts w:hint="eastAsia"/>
          <w:b/>
        </w:rPr>
        <w:t>二、</w:t>
      </w:r>
      <w:r w:rsidRPr="00044A32">
        <w:rPr>
          <w:rFonts w:cs="宋体" w:hint="eastAsia"/>
          <w:b/>
          <w:bCs/>
        </w:rPr>
        <w:t>本周上市新车</w:t>
      </w:r>
    </w:p>
    <w:p w14:paraId="316364E2" w14:textId="77777777" w:rsidR="001546BB" w:rsidRPr="00DA1E93" w:rsidRDefault="001546BB" w:rsidP="00EA49ED">
      <w:pPr>
        <w:pStyle w:val="a8"/>
        <w:numPr>
          <w:ilvl w:val="0"/>
          <w:numId w:val="6"/>
        </w:numPr>
        <w:ind w:firstLineChars="0"/>
        <w:outlineLvl w:val="1"/>
        <w:rPr>
          <w:b/>
        </w:rPr>
      </w:pPr>
      <w:r w:rsidRPr="00DA1E93">
        <w:rPr>
          <w:b/>
        </w:rPr>
        <w:t>全新一代风光580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546BB" w:rsidRPr="00B17CB4" w14:paraId="4949FBF8" w14:textId="77777777" w:rsidTr="00DF6158">
        <w:trPr>
          <w:tblCellSpacing w:w="15" w:type="dxa"/>
        </w:trPr>
        <w:tc>
          <w:tcPr>
            <w:tcW w:w="0" w:type="auto"/>
            <w:tcBorders>
              <w:top w:val="nil"/>
              <w:left w:val="nil"/>
              <w:bottom w:val="nil"/>
              <w:right w:val="nil"/>
            </w:tcBorders>
            <w:hideMark/>
          </w:tcPr>
          <w:p w14:paraId="4D21ED25" w14:textId="77777777" w:rsidR="001546BB" w:rsidRPr="00B17CB4" w:rsidRDefault="001546BB" w:rsidP="00DF6158">
            <w:pPr>
              <w:widowControl/>
              <w:jc w:val="left"/>
              <w:rPr>
                <w:rFonts w:ascii="宋体" w:eastAsia="宋体" w:hAnsi="宋体" w:cs="宋体"/>
                <w:kern w:val="0"/>
                <w:sz w:val="24"/>
              </w:rPr>
            </w:pPr>
          </w:p>
        </w:tc>
        <w:tc>
          <w:tcPr>
            <w:tcW w:w="0" w:type="auto"/>
            <w:tcBorders>
              <w:top w:val="nil"/>
              <w:left w:val="nil"/>
              <w:bottom w:val="nil"/>
              <w:right w:val="nil"/>
            </w:tcBorders>
            <w:hideMark/>
          </w:tcPr>
          <w:p w14:paraId="29938361" w14:textId="77777777" w:rsidR="001546BB" w:rsidRPr="00B17CB4" w:rsidRDefault="001546BB" w:rsidP="00DF6158">
            <w:pPr>
              <w:widowControl/>
              <w:jc w:val="left"/>
              <w:rPr>
                <w:rFonts w:ascii="微软雅黑" w:eastAsia="微软雅黑" w:hAnsi="微软雅黑" w:cs="宋体"/>
                <w:color w:val="000000"/>
                <w:kern w:val="0"/>
                <w:sz w:val="27"/>
                <w:szCs w:val="27"/>
              </w:rPr>
            </w:pPr>
            <w:r w:rsidRPr="00B17CB4">
              <w:rPr>
                <w:rFonts w:ascii="微软雅黑" w:eastAsia="微软雅黑" w:hAnsi="微软雅黑" w:cs="宋体"/>
                <w:noProof/>
                <w:color w:val="000000"/>
                <w:kern w:val="0"/>
                <w:sz w:val="27"/>
                <w:szCs w:val="27"/>
              </w:rPr>
              <w:drawing>
                <wp:inline distT="0" distB="0" distL="0" distR="0" wp14:anchorId="1C76869A" wp14:editId="02502F7F">
                  <wp:extent cx="1800000" cy="1001686"/>
                  <wp:effectExtent l="0" t="0" r="0" b="8255"/>
                  <wp:docPr id="21" name="图片 21" descr="http://58.246.65.10:8231/UploadFile/202111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108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01686"/>
                          </a:xfrm>
                          <a:prstGeom prst="rect">
                            <a:avLst/>
                          </a:prstGeom>
                          <a:noFill/>
                          <a:ln>
                            <a:noFill/>
                          </a:ln>
                        </pic:spPr>
                      </pic:pic>
                    </a:graphicData>
                  </a:graphic>
                </wp:inline>
              </w:drawing>
            </w:r>
          </w:p>
        </w:tc>
        <w:tc>
          <w:tcPr>
            <w:tcW w:w="0" w:type="auto"/>
            <w:tcBorders>
              <w:top w:val="nil"/>
              <w:left w:val="nil"/>
              <w:bottom w:val="nil"/>
              <w:right w:val="nil"/>
            </w:tcBorders>
            <w:hideMark/>
          </w:tcPr>
          <w:p w14:paraId="1B23D909" w14:textId="77777777" w:rsidR="001546BB" w:rsidRPr="00B17CB4" w:rsidRDefault="001546BB" w:rsidP="00DF6158">
            <w:pPr>
              <w:widowControl/>
              <w:jc w:val="left"/>
              <w:rPr>
                <w:rFonts w:ascii="微软雅黑" w:eastAsia="微软雅黑" w:hAnsi="微软雅黑" w:cs="宋体"/>
                <w:color w:val="000000"/>
                <w:kern w:val="0"/>
                <w:sz w:val="27"/>
                <w:szCs w:val="27"/>
              </w:rPr>
            </w:pPr>
          </w:p>
        </w:tc>
      </w:tr>
    </w:tbl>
    <w:p w14:paraId="365440CC" w14:textId="77777777" w:rsidR="001546BB" w:rsidRDefault="001546BB" w:rsidP="00EA49ED">
      <w:r>
        <w:t>11月5日，全新一代风光580上市，新车共推5款，售价区间为9.59万-12.99万元。</w:t>
      </w:r>
    </w:p>
    <w:p w14:paraId="59469492" w14:textId="77777777" w:rsidR="001546BB" w:rsidRDefault="001546BB" w:rsidP="00EA49ED">
      <w:r>
        <w:rPr>
          <w:rFonts w:hint="eastAsia"/>
        </w:rPr>
        <w:t>外观方面，新车采用鸟翼格栅、贯穿式灯组。</w:t>
      </w:r>
    </w:p>
    <w:p w14:paraId="03BE834E" w14:textId="77777777" w:rsidR="001546BB" w:rsidRDefault="001546BB" w:rsidP="00EA49ED">
      <w:r>
        <w:rPr>
          <w:rFonts w:hint="eastAsia"/>
        </w:rPr>
        <w:t>内饰方面，新车采用</w:t>
      </w:r>
      <w:r>
        <w:t>12.3英寸中控屏、7寸全液晶仪表。</w:t>
      </w:r>
    </w:p>
    <w:p w14:paraId="0903A289" w14:textId="21D63B2D" w:rsidR="00CF2EC4" w:rsidRDefault="001546BB" w:rsidP="00EA49ED">
      <w:r>
        <w:rPr>
          <w:rFonts w:hint="eastAsia"/>
        </w:rPr>
        <w:t>动力方面，新车搭载</w:t>
      </w:r>
      <w:r>
        <w:t>1.5T发动机，匹配6MT，6TIP变速箱。</w:t>
      </w:r>
    </w:p>
    <w:p w14:paraId="75AA1D99" w14:textId="77777777" w:rsidR="001546BB" w:rsidRPr="00C06AF1" w:rsidRDefault="001546BB" w:rsidP="00EA49ED">
      <w:pPr>
        <w:pStyle w:val="a8"/>
        <w:numPr>
          <w:ilvl w:val="0"/>
          <w:numId w:val="6"/>
        </w:numPr>
        <w:ind w:firstLineChars="0"/>
        <w:outlineLvl w:val="1"/>
        <w:rPr>
          <w:b/>
        </w:rPr>
      </w:pPr>
      <w:r w:rsidRPr="00C06AF1">
        <w:rPr>
          <w:b/>
        </w:rPr>
        <w:t>新款吉利缤越PHEV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546BB" w:rsidRPr="000F3E16" w14:paraId="0E77520A" w14:textId="77777777" w:rsidTr="00DF6158">
        <w:trPr>
          <w:tblCellSpacing w:w="15" w:type="dxa"/>
        </w:trPr>
        <w:tc>
          <w:tcPr>
            <w:tcW w:w="0" w:type="auto"/>
            <w:tcBorders>
              <w:top w:val="nil"/>
              <w:left w:val="nil"/>
              <w:bottom w:val="nil"/>
              <w:right w:val="nil"/>
            </w:tcBorders>
            <w:hideMark/>
          </w:tcPr>
          <w:p w14:paraId="1A3E71D7" w14:textId="77777777" w:rsidR="001546BB" w:rsidRPr="000F3E16" w:rsidRDefault="001546BB" w:rsidP="00DF6158">
            <w:pPr>
              <w:widowControl/>
              <w:jc w:val="left"/>
              <w:rPr>
                <w:rFonts w:ascii="宋体" w:eastAsia="宋体" w:hAnsi="宋体" w:cs="宋体"/>
                <w:kern w:val="0"/>
                <w:sz w:val="24"/>
              </w:rPr>
            </w:pPr>
          </w:p>
        </w:tc>
        <w:tc>
          <w:tcPr>
            <w:tcW w:w="0" w:type="auto"/>
            <w:tcBorders>
              <w:top w:val="nil"/>
              <w:left w:val="nil"/>
              <w:bottom w:val="nil"/>
              <w:right w:val="nil"/>
            </w:tcBorders>
            <w:hideMark/>
          </w:tcPr>
          <w:p w14:paraId="68A2174D" w14:textId="77777777" w:rsidR="001546BB" w:rsidRPr="000F3E16" w:rsidRDefault="001546BB" w:rsidP="00DF6158">
            <w:pPr>
              <w:widowControl/>
              <w:jc w:val="left"/>
              <w:rPr>
                <w:rFonts w:ascii="微软雅黑" w:eastAsia="微软雅黑" w:hAnsi="微软雅黑" w:cs="宋体"/>
                <w:color w:val="000000"/>
                <w:kern w:val="0"/>
                <w:sz w:val="27"/>
                <w:szCs w:val="27"/>
              </w:rPr>
            </w:pPr>
            <w:r w:rsidRPr="000F3E16">
              <w:rPr>
                <w:rFonts w:ascii="微软雅黑" w:eastAsia="微软雅黑" w:hAnsi="微软雅黑" w:cs="宋体"/>
                <w:noProof/>
                <w:color w:val="000000"/>
                <w:kern w:val="0"/>
                <w:sz w:val="27"/>
                <w:szCs w:val="27"/>
              </w:rPr>
              <w:drawing>
                <wp:inline distT="0" distB="0" distL="0" distR="0" wp14:anchorId="287277A6" wp14:editId="4BEB0A15">
                  <wp:extent cx="1800000" cy="982609"/>
                  <wp:effectExtent l="0" t="0" r="0" b="8255"/>
                  <wp:docPr id="23" name="图片 23" descr="http://58.246.65.10:8231/UploadFile/202111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1112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82609"/>
                          </a:xfrm>
                          <a:prstGeom prst="rect">
                            <a:avLst/>
                          </a:prstGeom>
                          <a:noFill/>
                          <a:ln>
                            <a:noFill/>
                          </a:ln>
                        </pic:spPr>
                      </pic:pic>
                    </a:graphicData>
                  </a:graphic>
                </wp:inline>
              </w:drawing>
            </w:r>
          </w:p>
        </w:tc>
        <w:tc>
          <w:tcPr>
            <w:tcW w:w="0" w:type="auto"/>
            <w:tcBorders>
              <w:top w:val="nil"/>
              <w:left w:val="nil"/>
              <w:bottom w:val="nil"/>
              <w:right w:val="nil"/>
            </w:tcBorders>
            <w:hideMark/>
          </w:tcPr>
          <w:p w14:paraId="2D64C8C7" w14:textId="77777777" w:rsidR="001546BB" w:rsidRPr="000F3E16" w:rsidRDefault="001546BB" w:rsidP="00DF6158">
            <w:pPr>
              <w:widowControl/>
              <w:jc w:val="left"/>
              <w:rPr>
                <w:rFonts w:ascii="微软雅黑" w:eastAsia="微软雅黑" w:hAnsi="微软雅黑" w:cs="宋体"/>
                <w:color w:val="000000"/>
                <w:kern w:val="0"/>
                <w:sz w:val="27"/>
                <w:szCs w:val="27"/>
              </w:rPr>
            </w:pPr>
          </w:p>
        </w:tc>
      </w:tr>
    </w:tbl>
    <w:p w14:paraId="1292F1A6" w14:textId="77777777" w:rsidR="001546BB" w:rsidRDefault="001546BB" w:rsidP="00EA49ED">
      <w:r>
        <w:t>11月12日，新款吉利缤越PHEV上市，新车共推2款，售价区间为11.98万-13.58万元。</w:t>
      </w:r>
    </w:p>
    <w:p w14:paraId="2A4D20A2" w14:textId="77777777" w:rsidR="001546BB" w:rsidRDefault="001546BB" w:rsidP="00EA49ED">
      <w:r>
        <w:rPr>
          <w:rFonts w:hint="eastAsia"/>
        </w:rPr>
        <w:t>外观方面，新车采用无边界格栅、</w:t>
      </w:r>
      <w:r>
        <w:t>LED律动大灯、三段式进气口。</w:t>
      </w:r>
    </w:p>
    <w:p w14:paraId="6BE9AA96" w14:textId="77777777" w:rsidR="001546BB" w:rsidRDefault="001546BB" w:rsidP="00EA49ED">
      <w:r>
        <w:rPr>
          <w:rFonts w:hint="eastAsia"/>
        </w:rPr>
        <w:t>内饰方面，新车采用</w:t>
      </w:r>
      <w:r>
        <w:t>Alcantara包裹运动座椅。</w:t>
      </w:r>
    </w:p>
    <w:p w14:paraId="498A7F2D" w14:textId="7EEE94FA" w:rsidR="001546BB" w:rsidRPr="00CF2EC4" w:rsidRDefault="001546BB" w:rsidP="00EA49ED">
      <w:r>
        <w:rPr>
          <w:rFonts w:hint="eastAsia"/>
        </w:rPr>
        <w:t>动力方面，新车搭载由</w:t>
      </w:r>
      <w:r>
        <w:t>1.5T发动机和电动机组成的插电混动系统，匹配7DCT变速箱。</w:t>
      </w:r>
    </w:p>
    <w:p w14:paraId="613DBB2F" w14:textId="77777777" w:rsidR="001546BB" w:rsidRPr="00902DD1" w:rsidRDefault="001546BB" w:rsidP="00EA49ED">
      <w:pPr>
        <w:pStyle w:val="a8"/>
        <w:numPr>
          <w:ilvl w:val="0"/>
          <w:numId w:val="6"/>
        </w:numPr>
        <w:ind w:firstLineChars="0"/>
        <w:outlineLvl w:val="1"/>
        <w:rPr>
          <w:b/>
        </w:rPr>
      </w:pPr>
      <w:r>
        <w:rPr>
          <w:b/>
        </w:rPr>
        <w:t>新款威兰达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546BB" w:rsidRPr="00B17CB4" w14:paraId="580A70E2" w14:textId="77777777" w:rsidTr="00DF6158">
        <w:trPr>
          <w:tblCellSpacing w:w="15" w:type="dxa"/>
        </w:trPr>
        <w:tc>
          <w:tcPr>
            <w:tcW w:w="0" w:type="auto"/>
            <w:tcBorders>
              <w:top w:val="nil"/>
              <w:left w:val="nil"/>
              <w:bottom w:val="nil"/>
              <w:right w:val="nil"/>
            </w:tcBorders>
            <w:hideMark/>
          </w:tcPr>
          <w:p w14:paraId="1842F21D" w14:textId="77777777" w:rsidR="001546BB" w:rsidRPr="00B17CB4" w:rsidRDefault="001546BB" w:rsidP="00DF6158">
            <w:pPr>
              <w:widowControl/>
              <w:jc w:val="left"/>
              <w:rPr>
                <w:rFonts w:ascii="宋体" w:eastAsia="宋体" w:hAnsi="宋体" w:cs="宋体"/>
                <w:kern w:val="0"/>
                <w:sz w:val="24"/>
              </w:rPr>
            </w:pPr>
          </w:p>
        </w:tc>
        <w:tc>
          <w:tcPr>
            <w:tcW w:w="0" w:type="auto"/>
            <w:tcBorders>
              <w:top w:val="nil"/>
              <w:left w:val="nil"/>
              <w:bottom w:val="nil"/>
              <w:right w:val="nil"/>
            </w:tcBorders>
            <w:hideMark/>
          </w:tcPr>
          <w:p w14:paraId="5B4EF58F" w14:textId="77777777" w:rsidR="001546BB" w:rsidRPr="00B17CB4" w:rsidRDefault="001546BB" w:rsidP="00DF6158">
            <w:pPr>
              <w:widowControl/>
              <w:jc w:val="left"/>
              <w:rPr>
                <w:rFonts w:ascii="微软雅黑" w:eastAsia="微软雅黑" w:hAnsi="微软雅黑" w:cs="宋体"/>
                <w:color w:val="000000"/>
                <w:kern w:val="0"/>
                <w:sz w:val="27"/>
                <w:szCs w:val="27"/>
              </w:rPr>
            </w:pPr>
            <w:r w:rsidRPr="00B17CB4">
              <w:rPr>
                <w:rFonts w:ascii="微软雅黑" w:eastAsia="微软雅黑" w:hAnsi="微软雅黑" w:cs="宋体"/>
                <w:noProof/>
                <w:color w:val="000000"/>
                <w:kern w:val="0"/>
                <w:sz w:val="27"/>
                <w:szCs w:val="27"/>
              </w:rPr>
              <w:drawing>
                <wp:inline distT="0" distB="0" distL="0" distR="0" wp14:anchorId="194C3599" wp14:editId="5C83D478">
                  <wp:extent cx="1800000" cy="941829"/>
                  <wp:effectExtent l="0" t="0" r="0" b="0"/>
                  <wp:docPr id="24" name="图片 24" descr="http://58.246.65.10:8231/UploadFile/202111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1110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941829"/>
                          </a:xfrm>
                          <a:prstGeom prst="rect">
                            <a:avLst/>
                          </a:prstGeom>
                          <a:noFill/>
                          <a:ln>
                            <a:noFill/>
                          </a:ln>
                        </pic:spPr>
                      </pic:pic>
                    </a:graphicData>
                  </a:graphic>
                </wp:inline>
              </w:drawing>
            </w:r>
          </w:p>
        </w:tc>
        <w:tc>
          <w:tcPr>
            <w:tcW w:w="0" w:type="auto"/>
            <w:tcBorders>
              <w:top w:val="nil"/>
              <w:left w:val="nil"/>
              <w:bottom w:val="nil"/>
              <w:right w:val="nil"/>
            </w:tcBorders>
            <w:hideMark/>
          </w:tcPr>
          <w:p w14:paraId="7F2F6389" w14:textId="77777777" w:rsidR="001546BB" w:rsidRPr="00B17CB4" w:rsidRDefault="001546BB" w:rsidP="00DF6158">
            <w:pPr>
              <w:widowControl/>
              <w:jc w:val="left"/>
              <w:rPr>
                <w:rFonts w:ascii="微软雅黑" w:eastAsia="微软雅黑" w:hAnsi="微软雅黑" w:cs="宋体"/>
                <w:color w:val="000000"/>
                <w:kern w:val="0"/>
                <w:sz w:val="27"/>
                <w:szCs w:val="27"/>
              </w:rPr>
            </w:pPr>
          </w:p>
        </w:tc>
      </w:tr>
    </w:tbl>
    <w:p w14:paraId="23998085" w14:textId="77777777" w:rsidR="001546BB" w:rsidRDefault="001546BB" w:rsidP="00EA49ED">
      <w:r>
        <w:t>11月9日，新款威兰达上市，新车共推12款，售价区间为17.18万-24.28万元。</w:t>
      </w:r>
    </w:p>
    <w:p w14:paraId="52E42FCE" w14:textId="77777777" w:rsidR="001546BB" w:rsidRDefault="001546BB" w:rsidP="00EA49ED">
      <w:r>
        <w:rPr>
          <w:rFonts w:hint="eastAsia"/>
        </w:rPr>
        <w:t>外观方面，新车与老款车型基本保持一致。</w:t>
      </w:r>
    </w:p>
    <w:p w14:paraId="170AC23D" w14:textId="77777777" w:rsidR="001546BB" w:rsidRDefault="001546BB" w:rsidP="00EA49ED">
      <w:r>
        <w:rPr>
          <w:rFonts w:hint="eastAsia"/>
        </w:rPr>
        <w:t>配置方面，新车配备带数值显示的胎压监测、全景监控系统、远程控制系统等。</w:t>
      </w:r>
    </w:p>
    <w:p w14:paraId="12CA4DD1" w14:textId="77777777" w:rsidR="001546BB" w:rsidRDefault="001546BB" w:rsidP="00EA49ED">
      <w:r>
        <w:rPr>
          <w:rFonts w:hint="eastAsia"/>
        </w:rPr>
        <w:t>动力方面，新车搭载</w:t>
      </w:r>
      <w:r>
        <w:t>1.5L发动机，匹配CVT变速箱。</w:t>
      </w:r>
    </w:p>
    <w:p w14:paraId="7618127B" w14:textId="5B69A512" w:rsidR="001546BB" w:rsidRDefault="001546BB" w:rsidP="00EA49ED">
      <w:pPr>
        <w:rPr>
          <w:rFonts w:cs="宋体"/>
          <w:b/>
          <w:bCs/>
          <w:i/>
          <w:iCs/>
        </w:rPr>
      </w:pPr>
    </w:p>
    <w:p w14:paraId="1489E46F" w14:textId="77777777" w:rsidR="00EA49ED" w:rsidRPr="00DA5660" w:rsidRDefault="00EA49ED" w:rsidP="00EA49ED">
      <w:pPr>
        <w:pStyle w:val="a8"/>
        <w:numPr>
          <w:ilvl w:val="0"/>
          <w:numId w:val="14"/>
        </w:numPr>
        <w:ind w:firstLineChars="0"/>
        <w:outlineLvl w:val="0"/>
        <w:rPr>
          <w:b/>
        </w:rPr>
      </w:pPr>
      <w:r w:rsidRPr="00C97499">
        <w:rPr>
          <w:rFonts w:cs="宋体" w:hint="eastAsia"/>
          <w:b/>
          <w:bCs/>
        </w:rPr>
        <w:t>宏观经济与政策</w:t>
      </w:r>
    </w:p>
    <w:p w14:paraId="090D3199" w14:textId="77777777" w:rsidR="001546BB" w:rsidRPr="00DA1E93" w:rsidRDefault="001546BB" w:rsidP="00EA49ED">
      <w:pPr>
        <w:pStyle w:val="a8"/>
        <w:numPr>
          <w:ilvl w:val="0"/>
          <w:numId w:val="15"/>
        </w:numPr>
        <w:ind w:firstLineChars="0"/>
        <w:outlineLvl w:val="1"/>
        <w:rPr>
          <w:b/>
        </w:rPr>
      </w:pPr>
      <w:r w:rsidRPr="00DA1E93">
        <w:rPr>
          <w:rFonts w:hint="eastAsia"/>
          <w:b/>
        </w:rPr>
        <w:t>海关总署：前</w:t>
      </w:r>
      <w:r w:rsidRPr="00DA1E93">
        <w:rPr>
          <w:b/>
        </w:rPr>
        <w:t>10个月我国进出口总值同比增长22.2%</w:t>
      </w:r>
    </w:p>
    <w:p w14:paraId="2694BC76" w14:textId="3F8A5EBE" w:rsidR="001546BB" w:rsidRDefault="001546BB" w:rsidP="00EA49ED">
      <w:r>
        <w:t>今年前10个月，我国进出口总值31.67万亿元，同比增长22.2%，比2019年同期增长23.4%。其中，出口17.49万亿元，同比增长22.5%，；进口14.18万亿元，同比增长21.8%</w:t>
      </w:r>
      <w:r>
        <w:rPr>
          <w:rFonts w:hint="eastAsia"/>
        </w:rPr>
        <w:t>。</w:t>
      </w:r>
    </w:p>
    <w:p w14:paraId="17A0A831" w14:textId="77D5B19E" w:rsidR="00A51EC4" w:rsidRPr="00CF2EC4" w:rsidRDefault="00CF2EC4" w:rsidP="00CF2EC4">
      <w:pPr>
        <w:outlineLvl w:val="1"/>
        <w:rPr>
          <w:b/>
        </w:rPr>
      </w:pPr>
      <w:r>
        <w:rPr>
          <w:rFonts w:hint="eastAsia"/>
          <w:b/>
        </w:rPr>
        <w:t>2</w:t>
      </w:r>
      <w:r>
        <w:rPr>
          <w:b/>
        </w:rPr>
        <w:t>.</w:t>
      </w:r>
      <w:r w:rsidR="00A51EC4" w:rsidRPr="00CF2EC4">
        <w:rPr>
          <w:rFonts w:hint="eastAsia"/>
          <w:b/>
        </w:rPr>
        <w:t>工信部</w:t>
      </w:r>
      <w:r w:rsidR="00A51EC4" w:rsidRPr="00CF2EC4">
        <w:rPr>
          <w:b/>
        </w:rPr>
        <w:t>:推动氢能替代化石燃料</w:t>
      </w:r>
    </w:p>
    <w:p w14:paraId="70382DE8" w14:textId="0183277C" w:rsidR="00A51EC4" w:rsidRPr="00CF2EC4" w:rsidRDefault="00A51EC4" w:rsidP="00A51EC4">
      <w:r w:rsidRPr="0002236B">
        <w:rPr>
          <w:rFonts w:hint="eastAsia"/>
        </w:rPr>
        <w:t>工业部等四部委发布《关于加强产融合作推动工业绿色发展的指导意见》，提出加快工业企业绿色化改造提升，引导企业加大可再生能源使用，加强电力需求侧管理，推动电能、氢能、生物质能替代化石燃料；优化调整产业结构和布局，加快充电桩、换电站、加氢站等基础设施建设运营。氢能除了用于交通领域，在实现能源替代方面同样潜力巨大，而加快加氢站等基础设施建设，也是为推广氢燃料电池车铺平道路，防止氢能车上路面临无氢可加的局面。</w:t>
      </w:r>
    </w:p>
    <w:p w14:paraId="36460342" w14:textId="4EE131B6" w:rsidR="00A51EC4" w:rsidRPr="00CF2EC4" w:rsidRDefault="00CF2EC4" w:rsidP="00CF2EC4">
      <w:pPr>
        <w:outlineLvl w:val="1"/>
        <w:rPr>
          <w:b/>
        </w:rPr>
      </w:pPr>
      <w:r>
        <w:rPr>
          <w:rFonts w:hint="eastAsia"/>
          <w:b/>
        </w:rPr>
        <w:t>3</w:t>
      </w:r>
      <w:r>
        <w:rPr>
          <w:b/>
        </w:rPr>
        <w:t>.</w:t>
      </w:r>
      <w:r w:rsidR="00A51EC4" w:rsidRPr="00CF2EC4">
        <w:rPr>
          <w:rFonts w:hint="eastAsia"/>
          <w:b/>
        </w:rPr>
        <w:t>工信部等四部门：加快充电桩、换电站、加氢站等基础设施建设运营</w:t>
      </w:r>
    </w:p>
    <w:p w14:paraId="5DE8595F" w14:textId="44309784" w:rsidR="00A51EC4" w:rsidRPr="00CF2EC4" w:rsidRDefault="00A51EC4" w:rsidP="00A51EC4">
      <w:r>
        <w:t>11月5日，工信部、人民银行、银保监会、证监会联合发布了《关于加强产融合作推动工业绿色发展的指导意见》。政策提出加快发展战略性新兴产业，提升新能源汽车和智能网联汽车关键零部件、汽车芯片、基础材料、软件系统等产业链水平，推动提高产业集中度，加快充电桩、换电站、加氢站等基础设施建设运营，推动新能源汽车动力电池回收利用体系建设。</w:t>
      </w:r>
    </w:p>
    <w:p w14:paraId="35B971F2" w14:textId="0AC9E31C" w:rsidR="00A51EC4" w:rsidRPr="00CF2EC4" w:rsidRDefault="00CF2EC4" w:rsidP="00CF2EC4">
      <w:pPr>
        <w:outlineLvl w:val="1"/>
        <w:rPr>
          <w:b/>
        </w:rPr>
      </w:pPr>
      <w:r>
        <w:rPr>
          <w:rFonts w:hint="eastAsia"/>
          <w:b/>
        </w:rPr>
        <w:t>4</w:t>
      </w:r>
      <w:r>
        <w:rPr>
          <w:b/>
        </w:rPr>
        <w:t>.</w:t>
      </w:r>
      <w:r w:rsidR="00A51EC4" w:rsidRPr="00CF2EC4">
        <w:rPr>
          <w:rFonts w:hint="eastAsia"/>
          <w:b/>
        </w:rPr>
        <w:t>广东：逐步放宽广州、深圳汽车上牌指标限制</w:t>
      </w:r>
    </w:p>
    <w:p w14:paraId="265521FD" w14:textId="77777777" w:rsidR="00A51EC4" w:rsidRDefault="00A51EC4" w:rsidP="00A51EC4">
      <w:r>
        <w:t>10月9日，广东省人民政府办公厅印发关于促进城市消费若干政策措施，将大力推广节能车、新能源车使用，2021-2022年，广州市配置节能小汽车增量指标增加至8万个；深圳市进一步放宽新能源小汽车指标申请条件，取消社保条件等限制，促进新能源小汽车销售。加快构建城乡一体化的汽车销售和售后服务网络，探索汽车超市、线上购车模式，拓展维修、改装市场，培育汽车后市场消费。</w:t>
      </w:r>
    </w:p>
    <w:p w14:paraId="14143634" w14:textId="0CD66E97" w:rsidR="00A51EC4" w:rsidRPr="00CF2EC4" w:rsidRDefault="00CF2EC4" w:rsidP="00CF2EC4">
      <w:pPr>
        <w:outlineLvl w:val="1"/>
        <w:rPr>
          <w:b/>
        </w:rPr>
      </w:pPr>
      <w:r>
        <w:rPr>
          <w:rFonts w:hint="eastAsia"/>
          <w:b/>
        </w:rPr>
        <w:t>5</w:t>
      </w:r>
      <w:r>
        <w:rPr>
          <w:b/>
        </w:rPr>
        <w:t>.</w:t>
      </w:r>
      <w:r w:rsidR="00A51EC4" w:rsidRPr="00CF2EC4">
        <w:rPr>
          <w:rFonts w:hint="eastAsia"/>
          <w:b/>
        </w:rPr>
        <w:t>江苏</w:t>
      </w:r>
      <w:r w:rsidR="00A51EC4" w:rsidRPr="00CF2EC4">
        <w:rPr>
          <w:b/>
        </w:rPr>
        <w:t>:2025年全省泊位与车比例达1.2:1</w:t>
      </w:r>
    </w:p>
    <w:p w14:paraId="667031A5" w14:textId="77777777" w:rsidR="00A51EC4" w:rsidRDefault="00A51EC4" w:rsidP="00A51EC4">
      <w:r>
        <w:rPr>
          <w:rFonts w:hint="eastAsia"/>
        </w:rPr>
        <w:t>江苏省发布公开征求对《关于推动城市停车设施发展的实施意见》意见建议的公告。</w:t>
      </w:r>
    </w:p>
    <w:p w14:paraId="792D6F17" w14:textId="77777777" w:rsidR="00A51EC4" w:rsidRDefault="00A51EC4" w:rsidP="00A51EC4">
      <w:r>
        <w:rPr>
          <w:rFonts w:hint="eastAsia"/>
        </w:rPr>
        <w:t>其中提到，到</w:t>
      </w:r>
      <w:r>
        <w:t>2025年，全省总体泊位与车辆比例达到1.2∶1以上，基本建成配建停车设施为主、路外公共停车设施为辅、路内停车为补充的城市停车供给体系。社会资本广泛参与，信息技术与停车产业深度融合，停车资源高效利用，城市停车规范有序，依法治理、社会共治局面基本形成，居住社区、医院、学校、交通枢纽等重点区域停车需求基本得到满足。到2035年，布局合理、供给充足、智能高效、便捷可及的城市停车系统全面建成，停车设施与城市发展相适应，为现代城市发展提供有力支撑。</w:t>
      </w:r>
    </w:p>
    <w:p w14:paraId="5EAA3318" w14:textId="55830AA7" w:rsidR="00A51EC4" w:rsidRPr="00CF2EC4" w:rsidRDefault="00CF2EC4" w:rsidP="00CF2EC4">
      <w:pPr>
        <w:outlineLvl w:val="1"/>
        <w:rPr>
          <w:b/>
        </w:rPr>
      </w:pPr>
      <w:r>
        <w:rPr>
          <w:rFonts w:hint="eastAsia"/>
          <w:b/>
        </w:rPr>
        <w:t>6</w:t>
      </w:r>
      <w:r>
        <w:rPr>
          <w:b/>
        </w:rPr>
        <w:t>.</w:t>
      </w:r>
      <w:r w:rsidR="00A51EC4" w:rsidRPr="00CF2EC4">
        <w:rPr>
          <w:rFonts w:hint="eastAsia"/>
          <w:b/>
        </w:rPr>
        <w:t>江苏：停车场需按比例配建新能源汽车、公交车等充换电设施</w:t>
      </w:r>
    </w:p>
    <w:p w14:paraId="4277161B" w14:textId="77777777" w:rsidR="00A51EC4" w:rsidRDefault="00A51EC4" w:rsidP="00A51EC4">
      <w:r>
        <w:rPr>
          <w:rFonts w:hint="eastAsia"/>
        </w:rPr>
        <w:t>近日，江苏省发改委发布关于公开征求对《关于推动城市停车设施发展的实施意见》意见建议的公告。公告中提出统筹推进路内停车和停车设施收费电子化建设，按一定比例配建新能源汽车、公交车等充换电设施。各城市根据实际情况，细化停车充换电设施配建要求，促进新能源车辆发展，鼓励停车泊位所有人依法依规建设充电设施。</w:t>
      </w:r>
    </w:p>
    <w:p w14:paraId="76F9A97E" w14:textId="1551617D" w:rsidR="00A51EC4" w:rsidRDefault="00CF2EC4" w:rsidP="00CF2EC4">
      <w:pPr>
        <w:outlineLvl w:val="1"/>
      </w:pPr>
      <w:r>
        <w:rPr>
          <w:rFonts w:hint="eastAsia"/>
          <w:b/>
        </w:rPr>
        <w:t>7</w:t>
      </w:r>
      <w:r>
        <w:rPr>
          <w:b/>
        </w:rPr>
        <w:t>.</w:t>
      </w:r>
      <w:r w:rsidR="00A51EC4" w:rsidRPr="00CF2EC4">
        <w:rPr>
          <w:rFonts w:hint="eastAsia"/>
          <w:b/>
        </w:rPr>
        <w:t>交通部：开展自动驾驶和等应用试点</w:t>
      </w:r>
    </w:p>
    <w:p w14:paraId="62E830CC" w14:textId="77777777" w:rsidR="00A51EC4" w:rsidRDefault="00A51EC4" w:rsidP="00A51EC4">
      <w:r>
        <w:t>11月10日，交通运输部办公厅发布了《关于组织开展自动驾驶和智能航运先导应用试点的通知》，提出要在自动驾驶、智能航运等领域开展试点任务。</w:t>
      </w:r>
    </w:p>
    <w:p w14:paraId="4FB94966" w14:textId="69EFC7E6" w:rsidR="00A51EC4" w:rsidRDefault="00CF2EC4" w:rsidP="00CF2EC4">
      <w:pPr>
        <w:outlineLvl w:val="1"/>
      </w:pPr>
      <w:r>
        <w:rPr>
          <w:rFonts w:hint="eastAsia"/>
          <w:b/>
        </w:rPr>
        <w:t>8</w:t>
      </w:r>
      <w:r>
        <w:rPr>
          <w:b/>
        </w:rPr>
        <w:t>.</w:t>
      </w:r>
      <w:r w:rsidR="00A51EC4" w:rsidRPr="00CF2EC4">
        <w:rPr>
          <w:rFonts w:hint="eastAsia"/>
          <w:b/>
        </w:rPr>
        <w:t>交通运输部印发《交通运输“十四五”立法规划》</w:t>
      </w:r>
    </w:p>
    <w:p w14:paraId="12419C5C" w14:textId="77777777" w:rsidR="00A51EC4" w:rsidRDefault="00A51EC4" w:rsidP="00A51EC4">
      <w:r>
        <w:rPr>
          <w:rFonts w:hint="eastAsia"/>
        </w:rPr>
        <w:t>据交通运输部</w:t>
      </w:r>
      <w:r>
        <w:t>11月11日消息，交通运输部办公厅发布关于印发《交通运输“十四五”立法规划》的通知。</w:t>
      </w:r>
    </w:p>
    <w:p w14:paraId="7A182D3E" w14:textId="77777777" w:rsidR="00A51EC4" w:rsidRDefault="00A51EC4" w:rsidP="00A51EC4">
      <w:r>
        <w:rPr>
          <w:rFonts w:hint="eastAsia"/>
        </w:rPr>
        <w:t>《规划》提出，到</w:t>
      </w:r>
      <w:r>
        <w:t>2025年，交通运输重点领域重大立法项目取得突破性进展，“一法两条例”等法律、行政法规颁布实施；一批服务交通运输高质量发展、保障交通运输安全、回应人民群众期待、细化落实上位法规定的部门规章印发实施；交通运输立法质量进一步提升，综合交通法规体系在更高层次、更高水平、更高质量上得到进一步完善，立法工作对交通运输改革发展稳定的引领、推动、支撑、保障作用进一步加强。</w:t>
      </w:r>
    </w:p>
    <w:p w14:paraId="068C751F" w14:textId="7B5DCC4A" w:rsidR="00A51EC4" w:rsidRPr="00CF2EC4" w:rsidRDefault="00CF2EC4" w:rsidP="00CF2EC4">
      <w:pPr>
        <w:outlineLvl w:val="1"/>
        <w:rPr>
          <w:b/>
        </w:rPr>
      </w:pPr>
      <w:r>
        <w:rPr>
          <w:rFonts w:hint="eastAsia"/>
          <w:b/>
        </w:rPr>
        <w:t>9</w:t>
      </w:r>
      <w:r>
        <w:rPr>
          <w:b/>
        </w:rPr>
        <w:t>.</w:t>
      </w:r>
      <w:r w:rsidR="00A51EC4" w:rsidRPr="00CF2EC4">
        <w:rPr>
          <w:rFonts w:hint="eastAsia"/>
          <w:b/>
        </w:rPr>
        <w:t>上海新增</w:t>
      </w:r>
      <w:r w:rsidR="00A51EC4" w:rsidRPr="00CF2EC4">
        <w:rPr>
          <w:b/>
        </w:rPr>
        <w:t>7,000余个智能网联汽车测试场景</w:t>
      </w:r>
    </w:p>
    <w:p w14:paraId="5575E3DA" w14:textId="77777777" w:rsidR="00A51EC4" w:rsidRDefault="00A51EC4" w:rsidP="00A51EC4">
      <w:r>
        <w:rPr>
          <w:rFonts w:hint="eastAsia"/>
        </w:rPr>
        <w:t>上海市交通委在拓展智能网联汽车开放测试道路及示范应用场景等方面发布了一系列的创新推进举措，提出开放嘉定新城全域、临港新片区</w:t>
      </w:r>
      <w:r>
        <w:t>386区块全域共372条722.60公里道路用于智能网联汽车测试，新增7,000余个可测交通场景。</w:t>
      </w:r>
    </w:p>
    <w:p w14:paraId="3D41E282" w14:textId="687A3721" w:rsidR="00A51EC4" w:rsidRPr="00CF2EC4" w:rsidRDefault="00CF2EC4" w:rsidP="00CF2EC4">
      <w:pPr>
        <w:outlineLvl w:val="1"/>
        <w:rPr>
          <w:b/>
        </w:rPr>
      </w:pPr>
      <w:r>
        <w:rPr>
          <w:rFonts w:hint="eastAsia"/>
          <w:b/>
        </w:rPr>
        <w:t>1</w:t>
      </w:r>
      <w:r>
        <w:rPr>
          <w:b/>
        </w:rPr>
        <w:t>0.</w:t>
      </w:r>
      <w:r w:rsidR="00A51EC4" w:rsidRPr="00CF2EC4">
        <w:rPr>
          <w:rFonts w:hint="eastAsia"/>
          <w:b/>
        </w:rPr>
        <w:t>上海运营燃料电池卡车最高奖励</w:t>
      </w:r>
      <w:r w:rsidR="00A51EC4" w:rsidRPr="00CF2EC4">
        <w:rPr>
          <w:b/>
        </w:rPr>
        <w:t>2万元</w:t>
      </w:r>
    </w:p>
    <w:p w14:paraId="239B6FAB" w14:textId="77777777" w:rsidR="00A51EC4" w:rsidRDefault="00A51EC4" w:rsidP="00A51EC4">
      <w:r>
        <w:rPr>
          <w:rFonts w:hint="eastAsia"/>
        </w:rPr>
        <w:t>上海市发改委、财政局、市经济信息委、市住房城乡建设管理委员会、交通委和科委共同印发了《关于支持本市燃料电池汽车产业发展若干政策》的通知。该通知提出将对每年度内行驶里程超过</w:t>
      </w:r>
      <w:r>
        <w:t>2万公里的燃料电池货车予以从5000元到20000元不等的奖励。</w:t>
      </w:r>
    </w:p>
    <w:p w14:paraId="1D17AFD1" w14:textId="77777777" w:rsidR="00A51EC4" w:rsidRDefault="00A51EC4" w:rsidP="00A51EC4">
      <w:r>
        <w:rPr>
          <w:rFonts w:hint="eastAsia"/>
        </w:rPr>
        <w:t>该通知提出，中型卡车（设计总质量</w:t>
      </w:r>
      <w:r>
        <w:t>12-31吨）每车每年奖励不超过5000元，重型卡车（设计总质量超过31吨）每车每年奖励不超过2万元。另外，每辆车自取得营运额度起累计最多奖励3个年度。</w:t>
      </w:r>
    </w:p>
    <w:p w14:paraId="6861308D" w14:textId="1AAD9662" w:rsidR="00A51EC4" w:rsidRPr="00CF2EC4" w:rsidRDefault="00CF2EC4" w:rsidP="00CF2EC4">
      <w:pPr>
        <w:outlineLvl w:val="1"/>
        <w:rPr>
          <w:b/>
        </w:rPr>
      </w:pPr>
      <w:r>
        <w:rPr>
          <w:rFonts w:hint="eastAsia"/>
          <w:b/>
        </w:rPr>
        <w:t>1</w:t>
      </w:r>
      <w:r>
        <w:rPr>
          <w:b/>
        </w:rPr>
        <w:t>1.</w:t>
      </w:r>
      <w:r w:rsidR="00A51EC4" w:rsidRPr="00CF2EC4">
        <w:rPr>
          <w:rFonts w:hint="eastAsia"/>
          <w:b/>
        </w:rPr>
        <w:t>西安</w:t>
      </w:r>
      <w:r w:rsidR="00A51EC4" w:rsidRPr="00CF2EC4">
        <w:rPr>
          <w:b/>
        </w:rPr>
        <w:t>2022年建成投运充电桩10000根</w:t>
      </w:r>
    </w:p>
    <w:p w14:paraId="73908D87" w14:textId="77777777" w:rsidR="00A51EC4" w:rsidRDefault="00A51EC4" w:rsidP="00A51EC4">
      <w:r>
        <w:rPr>
          <w:rFonts w:hint="eastAsia"/>
        </w:rPr>
        <w:t>日前，西安市人民政府网站日前发布《西安市人民政府办公厅关于加快推动新能源汽车产业高质量发展的实施意见》（以下简称《意见》），明确到</w:t>
      </w:r>
      <w:r>
        <w:t>2025年，将西安打造成全国一流的新能源汽车产业基地，力争全市新能源汽车产业规模以上工业总产值占全市汽车制造业40%以上，产销规模稳居全国前列。《意见》提出，要加快充电基础设施建设。贯彻落实《西安市推进新能源汽车充电基础设施建设三年行动方案（2020—2022年）》，按照适度超前、布局合理、智能高效的原则，加快推进充电设施建设，鼓励融资租赁等新型商业模式，形成布局合理、便捷高效、</w:t>
      </w:r>
      <w:r>
        <w:rPr>
          <w:rFonts w:hint="eastAsia"/>
        </w:rPr>
        <w:t>覆盖全市的新能源电动汽车充电网络，满足新能源汽车充电服务需求。到</w:t>
      </w:r>
      <w:r>
        <w:t>2022年，全市新建成投运集中式充电场站200个、充电桩10000根。力争到2025年建成投运新能源汽车充电站350个、充电桩20000根。</w:t>
      </w:r>
    </w:p>
    <w:p w14:paraId="08B9B24C" w14:textId="288325D4" w:rsidR="00A51EC4" w:rsidRDefault="00CF2EC4" w:rsidP="00CF2EC4">
      <w:pPr>
        <w:outlineLvl w:val="1"/>
      </w:pPr>
      <w:r>
        <w:rPr>
          <w:rFonts w:hint="eastAsia"/>
          <w:b/>
        </w:rPr>
        <w:t>1</w:t>
      </w:r>
      <w:r>
        <w:rPr>
          <w:b/>
        </w:rPr>
        <w:t>2.</w:t>
      </w:r>
      <w:r w:rsidR="00A51EC4" w:rsidRPr="00CF2EC4">
        <w:rPr>
          <w:rFonts w:hint="eastAsia"/>
          <w:b/>
        </w:rPr>
        <w:t>央行宣布推出碳减排支持工具</w:t>
      </w:r>
    </w:p>
    <w:p w14:paraId="56F9AFED" w14:textId="77777777" w:rsidR="00A51EC4" w:rsidRDefault="00A51EC4" w:rsidP="00A51EC4">
      <w:r>
        <w:t>11月8日，央行宣布推出碳减排支持工具。央行将通过碳减排支持工具向金融机构提供低成本资金，引导金融机构在自主决策、自担风险的前提下，向碳减排重点领域内的各类企业一视同仁提供碳减排贷款，贷款利率应与同期限档次贷款市场报价利率（LPR）大致持平。重点支持清洁能源、节能环保和碳减排技术三个碳减排领域。</w:t>
      </w:r>
    </w:p>
    <w:p w14:paraId="5BE7AC2F" w14:textId="506377B7" w:rsidR="00A51EC4" w:rsidRDefault="00CF2EC4" w:rsidP="00CF2EC4">
      <w:pPr>
        <w:outlineLvl w:val="1"/>
      </w:pPr>
      <w:r>
        <w:rPr>
          <w:rFonts w:hint="eastAsia"/>
          <w:b/>
        </w:rPr>
        <w:t>1</w:t>
      </w:r>
      <w:r>
        <w:rPr>
          <w:b/>
        </w:rPr>
        <w:t>3.</w:t>
      </w:r>
      <w:r w:rsidR="00A51EC4" w:rsidRPr="00CF2EC4">
        <w:rPr>
          <w:rFonts w:hint="eastAsia"/>
          <w:b/>
        </w:rPr>
        <w:t>浙江：</w:t>
      </w:r>
      <w:r w:rsidR="00A51EC4" w:rsidRPr="00CF2EC4">
        <w:rPr>
          <w:b/>
        </w:rPr>
        <w:t>2025年三大领域推广5,000辆氢能汽车50座加氢站</w:t>
      </w:r>
    </w:p>
    <w:p w14:paraId="61C57298" w14:textId="77777777" w:rsidR="00A51EC4" w:rsidRDefault="00A51EC4" w:rsidP="00A51EC4">
      <w:r>
        <w:rPr>
          <w:rFonts w:hint="eastAsia"/>
        </w:rPr>
        <w:t>浙江省发展改革委等</w:t>
      </w:r>
      <w:r>
        <w:t>6部门印发《浙江省加快培育氢燃料电池汽车产业发展实施方案》。到2025年，产业生态基本形成，产业链上具有一批竞争力强的优势龙头企业。在公交、港口、城际物流等领域推广应用氢燃料电池汽车接近5,000辆，规划建设加氢站接近50座。</w:t>
      </w:r>
    </w:p>
    <w:p w14:paraId="5401BD54" w14:textId="1635DCAE" w:rsidR="001546BB" w:rsidRPr="00CF2EC4" w:rsidRDefault="00CF2EC4" w:rsidP="00CF2EC4">
      <w:pPr>
        <w:outlineLvl w:val="1"/>
        <w:rPr>
          <w:b/>
        </w:rPr>
      </w:pPr>
      <w:r>
        <w:rPr>
          <w:rFonts w:hint="eastAsia"/>
          <w:b/>
        </w:rPr>
        <w:t>1</w:t>
      </w:r>
      <w:r>
        <w:rPr>
          <w:b/>
        </w:rPr>
        <w:t>4.</w:t>
      </w:r>
      <w:r w:rsidR="001546BB" w:rsidRPr="00CF2EC4">
        <w:rPr>
          <w:rFonts w:hint="eastAsia"/>
          <w:b/>
        </w:rPr>
        <w:t>统计局：</w:t>
      </w:r>
      <w:r w:rsidR="001546BB" w:rsidRPr="00CF2EC4">
        <w:rPr>
          <w:b/>
        </w:rPr>
        <w:t>10月份CPI同比上涨1.5%</w:t>
      </w:r>
    </w:p>
    <w:p w14:paraId="61C91E39" w14:textId="77777777" w:rsidR="001546BB" w:rsidRDefault="001546BB" w:rsidP="00EA49ED">
      <w:r>
        <w:t>10月份，CPI同比上涨1.5%，环比上涨0.7%。1-10月平均，CPI比上年同期上涨0.7%。</w:t>
      </w:r>
    </w:p>
    <w:p w14:paraId="46378737" w14:textId="56F11EF2" w:rsidR="001546BB" w:rsidRPr="00CF2EC4" w:rsidRDefault="00CF2EC4" w:rsidP="00CF2EC4">
      <w:pPr>
        <w:outlineLvl w:val="1"/>
        <w:rPr>
          <w:b/>
        </w:rPr>
      </w:pPr>
      <w:r>
        <w:rPr>
          <w:rFonts w:hint="eastAsia"/>
          <w:b/>
        </w:rPr>
        <w:t>1</w:t>
      </w:r>
      <w:r>
        <w:rPr>
          <w:b/>
        </w:rPr>
        <w:t>5.</w:t>
      </w:r>
      <w:r w:rsidR="001546BB" w:rsidRPr="00CF2EC4">
        <w:rPr>
          <w:rFonts w:hint="eastAsia"/>
          <w:b/>
        </w:rPr>
        <w:t>统计局：</w:t>
      </w:r>
      <w:r w:rsidR="001546BB" w:rsidRPr="00CF2EC4">
        <w:rPr>
          <w:b/>
        </w:rPr>
        <w:t>10月份PPI同比上涨13.5%</w:t>
      </w:r>
    </w:p>
    <w:p w14:paraId="5B4B2FB5" w14:textId="77777777" w:rsidR="001546BB" w:rsidRDefault="001546BB" w:rsidP="00EA49ED">
      <w:r>
        <w:t>10月份，PPI同比上涨13.5%，环比上涨2.5%；1-10月平均，PPI比上年同期上涨7.3%。</w:t>
      </w:r>
    </w:p>
    <w:p w14:paraId="6E720DB7" w14:textId="5096CA51" w:rsidR="001546BB" w:rsidRDefault="001546BB" w:rsidP="00EA49ED">
      <w:pPr>
        <w:rPr>
          <w:rFonts w:cs="宋体"/>
          <w:b/>
          <w:bCs/>
          <w:i/>
          <w:iCs/>
        </w:rPr>
      </w:pPr>
    </w:p>
    <w:p w14:paraId="44A57DA8" w14:textId="77777777" w:rsidR="00EA49ED" w:rsidRPr="00567A78" w:rsidRDefault="00EA49ED" w:rsidP="00EA49ED">
      <w:pPr>
        <w:pStyle w:val="a8"/>
        <w:numPr>
          <w:ilvl w:val="0"/>
          <w:numId w:val="8"/>
        </w:numPr>
        <w:ind w:firstLineChars="0"/>
        <w:outlineLvl w:val="0"/>
        <w:rPr>
          <w:b/>
        </w:rPr>
      </w:pPr>
      <w:r w:rsidRPr="002009FE">
        <w:rPr>
          <w:rFonts w:cs="宋体" w:hint="eastAsia"/>
          <w:b/>
          <w:bCs/>
        </w:rPr>
        <w:t>新品信息跟踪</w:t>
      </w:r>
    </w:p>
    <w:p w14:paraId="1BD26FCC" w14:textId="77777777" w:rsidR="001546BB" w:rsidRPr="00B04C2C" w:rsidRDefault="001546BB" w:rsidP="00EA49ED">
      <w:pPr>
        <w:pStyle w:val="a8"/>
        <w:numPr>
          <w:ilvl w:val="3"/>
          <w:numId w:val="9"/>
        </w:numPr>
        <w:ind w:left="426" w:firstLineChars="0"/>
        <w:outlineLvl w:val="1"/>
        <w:rPr>
          <w:b/>
        </w:rPr>
      </w:pPr>
      <w:r w:rsidRPr="00B04C2C">
        <w:rPr>
          <w:rFonts w:hint="eastAsia"/>
          <w:b/>
        </w:rPr>
        <w:t>广汽三菱阿图柯</w:t>
      </w:r>
    </w:p>
    <w:p w14:paraId="7317AFCF" w14:textId="77777777" w:rsidR="001546BB" w:rsidRDefault="001546BB" w:rsidP="00EA49ED">
      <w:r>
        <w:rPr>
          <w:noProof/>
          <w:color w:val="000000"/>
        </w:rPr>
        <w:drawing>
          <wp:inline distT="0" distB="0" distL="0" distR="0" wp14:anchorId="6C478655" wp14:editId="77371145">
            <wp:extent cx="1800000" cy="1125000"/>
            <wp:effectExtent l="0" t="0" r="0" b="0"/>
            <wp:docPr id="15" name="图片 15" descr="http://dss.way-s.cn/news/net_images/sina/57a56ae9068cd676ac1ae3b3289484cb988fae18/2d8d3fa7cf2f3d61fb60b671c6f50ef59ef986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sina/57a56ae9068cd676ac1ae3b3289484cb988fae18/2d8d3fa7cf2f3d61fb60b671c6f50ef59ef9861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EC09C12" w14:textId="77777777" w:rsidR="001546BB" w:rsidRDefault="001546BB" w:rsidP="00EA49ED">
      <w:r>
        <w:rPr>
          <w:rFonts w:hint="eastAsia"/>
        </w:rPr>
        <w:t>日前，根据广汽三菱官方消息，旗下全新纯电动车阿图柯将在广州车展正式亮相。外观方面，新车整体与</w:t>
      </w:r>
      <w:r>
        <w:t>AionV造型大致相似，不过在前脸部分还是保持着三菱最新的SUV设计语言。中网是封闭式设计，但是运用了大量的银色装饰，让这台车前脸看起来非常有攻击性。大灯采用了分体式设计，日间行车灯和主光源平行布局，矩阵式排列的造型非常有科技感。动力方面，新车搭载了一台最大功率135kW，最大扭矩350N·m的永磁同步电动机。动力电池为三元锂材料，电池容量为69.9度，电池组总重量为435kg，车辆的NEDC综合工况续航里程为520公里。</w:t>
      </w:r>
    </w:p>
    <w:p w14:paraId="4EE38576" w14:textId="77777777" w:rsidR="001546BB" w:rsidRPr="00B23AB8" w:rsidRDefault="001546BB" w:rsidP="00EA49ED">
      <w:pPr>
        <w:pStyle w:val="a8"/>
        <w:numPr>
          <w:ilvl w:val="3"/>
          <w:numId w:val="9"/>
        </w:numPr>
        <w:ind w:left="426" w:firstLineChars="0"/>
        <w:outlineLvl w:val="1"/>
        <w:rPr>
          <w:b/>
        </w:rPr>
      </w:pPr>
      <w:r w:rsidRPr="00B23AB8">
        <w:rPr>
          <w:rFonts w:hint="eastAsia"/>
          <w:b/>
        </w:rPr>
        <w:t>摩卡</w:t>
      </w:r>
      <w:r w:rsidRPr="00B23AB8">
        <w:rPr>
          <w:b/>
        </w:rPr>
        <w:t>PHEV</w:t>
      </w:r>
    </w:p>
    <w:p w14:paraId="0983E77F" w14:textId="77777777" w:rsidR="001546BB" w:rsidRDefault="001546BB" w:rsidP="00EA49ED">
      <w:r>
        <w:rPr>
          <w:noProof/>
          <w:color w:val="000000"/>
        </w:rPr>
        <w:drawing>
          <wp:inline distT="0" distB="0" distL="0" distR="0" wp14:anchorId="11A1F58C" wp14:editId="59876559">
            <wp:extent cx="1800000" cy="1125000"/>
            <wp:effectExtent l="0" t="0" r="0" b="0"/>
            <wp:docPr id="22" name="图片 22" descr="http://dss.way-s.cn/news/net_images/autohome/26ae426adebd1ff95818cb825029f5e37ea97e55/81f7f15c94e565adaa05caa8bb07c3a493673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26ae426adebd1ff95818cb825029f5e37ea97e55/81f7f15c94e565adaa05caa8bb07c3a4936734b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454AEA2" w14:textId="77777777" w:rsidR="001546BB" w:rsidRDefault="001546BB" w:rsidP="00EA49ED">
      <w:r>
        <w:t>新车此前在德国慕尼黑车展期间已经完成亮相，在设计上与目前在售的燃油版车型差别不大。根据此前曝光的消息，新车有望在年内上市销售。车身侧面，新车的造型较为饱满，营造出十分强烈的肌肉感。门把手也采用了隐藏式的设计，凸显出整车的一致性。上扬的腰线由前翼子板中央，贯穿整个车身，并在尾部与尾灯灯眉连接在一起。车身尺寸为4875/1960/1690mm，轴距达到了2915mm，定位中型SUV。动力方面，新车搭载1.5T发动机与电机组成的插电混动系统，其中发动机的最大功率为115kW（156Ps），动力电池使用了蜂巢能源生产的三元锂电池，根据此前曝光的消息，其纯电续航里程有望达到150km。此外，新车还可选装行李架、侧风窗装饰条、后摄像头、侧雷达等配置。</w:t>
      </w:r>
    </w:p>
    <w:p w14:paraId="52DE8972" w14:textId="77777777" w:rsidR="001546BB" w:rsidRPr="00B23AB8" w:rsidRDefault="001546BB" w:rsidP="00EA49ED">
      <w:pPr>
        <w:pStyle w:val="a8"/>
        <w:numPr>
          <w:ilvl w:val="3"/>
          <w:numId w:val="9"/>
        </w:numPr>
        <w:ind w:left="426" w:firstLineChars="0"/>
        <w:outlineLvl w:val="1"/>
        <w:rPr>
          <w:b/>
        </w:rPr>
      </w:pPr>
      <w:r w:rsidRPr="00B23AB8">
        <w:rPr>
          <w:rFonts w:hint="eastAsia"/>
          <w:b/>
        </w:rPr>
        <w:t>坦克</w:t>
      </w:r>
      <w:r w:rsidRPr="00B23AB8">
        <w:rPr>
          <w:b/>
        </w:rPr>
        <w:t>500</w:t>
      </w:r>
      <w:r>
        <w:rPr>
          <w:b/>
        </w:rPr>
        <w:t>混动版</w:t>
      </w:r>
    </w:p>
    <w:p w14:paraId="3E4BAA5D" w14:textId="77777777" w:rsidR="001546BB" w:rsidRDefault="001546BB" w:rsidP="00EA49ED">
      <w:r>
        <w:rPr>
          <w:noProof/>
          <w:color w:val="000000"/>
        </w:rPr>
        <w:drawing>
          <wp:inline distT="0" distB="0" distL="0" distR="0" wp14:anchorId="2EA6C036" wp14:editId="74147574">
            <wp:extent cx="1800000" cy="1125000"/>
            <wp:effectExtent l="0" t="0" r="0" b="0"/>
            <wp:docPr id="2" name="图片 2" descr="http://dss.way-s.cn/news/net_images/ifeng/13959e043d3c6dfc690f34405bdb7901ab401d57/91062c8ee11ed00d71c0624a36aaa09ce9f5be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ifeng/13959e043d3c6dfc690f34405bdb7901ab401d57/91062c8ee11ed00d71c0624a36aaa09ce9f5beb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7D3845A" w14:textId="77777777" w:rsidR="001546BB" w:rsidRDefault="001546BB" w:rsidP="00EA49ED">
      <w:r>
        <w:rPr>
          <w:rFonts w:hint="eastAsia"/>
        </w:rPr>
        <w:t>近日，一组坦克</w:t>
      </w:r>
      <w:r>
        <w:t>500混动版车型路试照片，未来新车或为坦克500的旗舰车型，上市时间也将晚于坦克500汽油版车型，新车预计明天夏天上市。外观造型与此前发布的汽油版车型一样，外观造型给人非常硬派越野的感觉，在两侧则是采用LED光源的灯组。前保险杠采用贯穿式设计营造出两侧宽厚的风格，看起来十分霸气。动力方面，新车预计搭载3.0T+9HAT超级动力总成，其变速器增加了150kW的混动电机和用于变速器与发动机动力断开或结合的离合器结构，可以实现整车的纯电或混合驱动模式，整套动力总成拥有750N·m最大扭矩。</w:t>
      </w:r>
    </w:p>
    <w:p w14:paraId="1CB42E2F" w14:textId="77777777" w:rsidR="001546BB" w:rsidRPr="003D22F7" w:rsidRDefault="001546BB" w:rsidP="00EA49ED">
      <w:pPr>
        <w:pStyle w:val="a8"/>
        <w:numPr>
          <w:ilvl w:val="3"/>
          <w:numId w:val="9"/>
        </w:numPr>
        <w:ind w:left="426" w:firstLineChars="0"/>
        <w:outlineLvl w:val="1"/>
        <w:rPr>
          <w:b/>
        </w:rPr>
      </w:pPr>
      <w:r w:rsidRPr="003D22F7">
        <w:rPr>
          <w:b/>
        </w:rPr>
        <w:t>现代途胜LNLine</w:t>
      </w:r>
    </w:p>
    <w:p w14:paraId="475C71ED" w14:textId="77777777" w:rsidR="001546BB" w:rsidRDefault="001546BB" w:rsidP="00EA49ED">
      <w:r>
        <w:rPr>
          <w:noProof/>
          <w:color w:val="000000"/>
        </w:rPr>
        <w:drawing>
          <wp:inline distT="0" distB="0" distL="0" distR="0" wp14:anchorId="0A3B0688" wp14:editId="7F68AC93">
            <wp:extent cx="1800000" cy="1125000"/>
            <wp:effectExtent l="0" t="0" r="0" b="0"/>
            <wp:docPr id="1" name="图片 1" descr="http://dss.way-s.cn/news/net_images/sina/65afc0b13d2b9b4317228093f7b32547a12f796a/7a71f7bd965ca70abda4f0d6e1200c44898b4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sina/65afc0b13d2b9b4317228093f7b32547a12f796a/7a71f7bd965ca70abda4f0d6e1200c44898b485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08B7B6C" w14:textId="6DB17B6F" w:rsidR="001546BB" w:rsidRDefault="001546BB" w:rsidP="00EA49ED">
      <w:r>
        <w:rPr>
          <w:rFonts w:hint="eastAsia"/>
        </w:rPr>
        <w:t>作为北京现代首款</w:t>
      </w:r>
      <w:r>
        <w:t>NLine系列SUV产品，途胜LNLine官图正式发布。外观方面，新车沿用第五代途胜L的设计风格，前格栅、两侧雾灯框均进行了熏黑处理，前包围采用了带有NLine标识的运动化设计，更加大气且兼顾运动感。“鹰翼”LED隐藏日行灯作为世界首个参数化隐藏式照明设计，将“N”标与隐藏日行灯有机结合，营造出浓厚的科技感。侧面采用复杂的腰线设计，侧面设计元素更加犀利，采用一套235/55R19NLine专属轮圈设计，轮圈中间标志性的N字母元素较为明显。车身尺寸上，长宽高分别</w:t>
      </w:r>
      <w:r>
        <w:rPr>
          <w:rFonts w:hint="eastAsia"/>
        </w:rPr>
        <w:t>为</w:t>
      </w:r>
      <w:r>
        <w:t>4680/1865/1690mm、轴距2755mm，这样的车身数据也能够很好的保证车内的乘用空间。</w:t>
      </w:r>
    </w:p>
    <w:p w14:paraId="4CD9513A" w14:textId="77777777" w:rsidR="00CF2EC4" w:rsidRDefault="00CF2EC4" w:rsidP="00EA49ED"/>
    <w:p w14:paraId="54D89BD0" w14:textId="77777777" w:rsidR="00EA49ED" w:rsidRPr="002009FE" w:rsidRDefault="00EA49ED" w:rsidP="00EA49ED">
      <w:pPr>
        <w:pStyle w:val="a8"/>
        <w:numPr>
          <w:ilvl w:val="0"/>
          <w:numId w:val="4"/>
        </w:numPr>
        <w:ind w:firstLineChars="0"/>
        <w:outlineLvl w:val="0"/>
      </w:pPr>
      <w:r>
        <w:rPr>
          <w:rFonts w:cs="宋体" w:hint="eastAsia"/>
          <w:b/>
          <w:bCs/>
        </w:rPr>
        <w:t>企业信息</w:t>
      </w:r>
    </w:p>
    <w:p w14:paraId="315B129E" w14:textId="77777777" w:rsidR="00A51EC4" w:rsidRDefault="00A51EC4" w:rsidP="00EA49ED">
      <w:pPr>
        <w:pStyle w:val="a8"/>
        <w:numPr>
          <w:ilvl w:val="3"/>
          <w:numId w:val="17"/>
        </w:numPr>
        <w:ind w:firstLineChars="0"/>
        <w:jc w:val="left"/>
        <w:outlineLvl w:val="1"/>
      </w:pPr>
      <w:r w:rsidRPr="00902DD1">
        <w:rPr>
          <w:rFonts w:hint="eastAsia"/>
          <w:b/>
        </w:rPr>
        <w:t>爱驰汽车</w:t>
      </w:r>
      <w:r w:rsidRPr="00902DD1">
        <w:rPr>
          <w:b/>
        </w:rPr>
        <w:t>B端换电模式启动，将在山西建设微网电站服务换电车型</w:t>
      </w:r>
    </w:p>
    <w:p w14:paraId="0DE5F8F7" w14:textId="77777777" w:rsidR="00A51EC4" w:rsidRDefault="00A51EC4" w:rsidP="00EA49ED">
      <w:r>
        <w:rPr>
          <w:rFonts w:hint="eastAsia"/>
        </w:rPr>
        <w:t>爱驰汽车先后与山西高平市、大同市签订战略协议。根据协议，爱驰将把“</w:t>
      </w:r>
      <w:r>
        <w:t>B端换电”模式的换电车型技术、“光储充换”智能微网技术以及换电应用场景等三大方面在山西落地，同时推动换电版爱驰U5投入大同市的文旅出行产业。</w:t>
      </w:r>
    </w:p>
    <w:p w14:paraId="16971A32" w14:textId="77777777" w:rsidR="00A51EC4" w:rsidRPr="008E2888" w:rsidRDefault="00A51EC4" w:rsidP="00EA49ED">
      <w:pPr>
        <w:pStyle w:val="a8"/>
        <w:numPr>
          <w:ilvl w:val="3"/>
          <w:numId w:val="17"/>
        </w:numPr>
        <w:ind w:firstLineChars="0"/>
        <w:jc w:val="left"/>
        <w:outlineLvl w:val="1"/>
        <w:rPr>
          <w:b/>
        </w:rPr>
      </w:pPr>
      <w:r w:rsidRPr="008E2888">
        <w:rPr>
          <w:rFonts w:hint="eastAsia"/>
          <w:b/>
        </w:rPr>
        <w:t>百川股份拟投建年产</w:t>
      </w:r>
      <w:r w:rsidRPr="008E2888">
        <w:rPr>
          <w:b/>
        </w:rPr>
        <w:t>2GWh锂电及1.5万吨石墨负极材料项目</w:t>
      </w:r>
    </w:p>
    <w:p w14:paraId="3DD4B818" w14:textId="77777777" w:rsidR="00A51EC4" w:rsidRPr="000B38E8" w:rsidRDefault="00A51EC4" w:rsidP="00EA49ED">
      <w:r w:rsidRPr="000B38E8">
        <w:t>11月10日，百川股份发布公告称，拟在江苏江阴投建年产2GWh锂电池及电池组项目，项目拟定建设期10个月，总投资4.74亿元。</w:t>
      </w:r>
    </w:p>
    <w:p w14:paraId="430C08CA" w14:textId="77777777" w:rsidR="00A51EC4" w:rsidRPr="00633269" w:rsidRDefault="00A51EC4" w:rsidP="00EA49ED">
      <w:pPr>
        <w:pStyle w:val="a8"/>
        <w:numPr>
          <w:ilvl w:val="3"/>
          <w:numId w:val="17"/>
        </w:numPr>
        <w:ind w:firstLineChars="0"/>
        <w:jc w:val="left"/>
        <w:outlineLvl w:val="1"/>
        <w:rPr>
          <w:b/>
        </w:rPr>
      </w:pPr>
      <w:r w:rsidRPr="00633269">
        <w:rPr>
          <w:rFonts w:hint="eastAsia"/>
          <w:b/>
        </w:rPr>
        <w:t>百度自动驾驶将采用英伟达系统级芯片</w:t>
      </w:r>
      <w:r w:rsidRPr="00633269">
        <w:rPr>
          <w:b/>
        </w:rPr>
        <w:t>Orin</w:t>
      </w:r>
    </w:p>
    <w:p w14:paraId="3FBA1529" w14:textId="77777777" w:rsidR="00A51EC4" w:rsidRDefault="00A51EC4" w:rsidP="00EA49ED">
      <w:r w:rsidRPr="00F25C44">
        <w:t>11月9日，在NVIDIAGTC大会上，NVIDIA创始人兼首席执行官黄仁勋在主题演讲中透露未来将与百度加深合作，百度第三代自动驾驶平台ACU（ApolloComputingUnit）产品“三鲜”将搭载NVIDIADRIVEOrinSoC（系统级芯片）。</w:t>
      </w:r>
    </w:p>
    <w:p w14:paraId="55E93D4A" w14:textId="77777777" w:rsidR="00A51EC4" w:rsidRPr="00477D18" w:rsidRDefault="00A51EC4" w:rsidP="00EA49ED">
      <w:pPr>
        <w:pStyle w:val="a8"/>
        <w:numPr>
          <w:ilvl w:val="3"/>
          <w:numId w:val="17"/>
        </w:numPr>
        <w:ind w:firstLineChars="0"/>
        <w:jc w:val="left"/>
        <w:outlineLvl w:val="1"/>
        <w:rPr>
          <w:b/>
        </w:rPr>
      </w:pPr>
      <w:r w:rsidRPr="00477D18">
        <w:rPr>
          <w:rFonts w:hint="eastAsia"/>
          <w:b/>
        </w:rPr>
        <w:t>奔驰金融在华推新数字贷款流程</w:t>
      </w:r>
    </w:p>
    <w:p w14:paraId="6FE12D6D" w14:textId="77777777" w:rsidR="00A51EC4" w:rsidRDefault="00A51EC4" w:rsidP="00EA49ED">
      <w:r>
        <w:rPr>
          <w:rFonts w:hint="eastAsia"/>
        </w:rPr>
        <w:t>从官方获悉，梅赛德斯</w:t>
      </w:r>
      <w:r>
        <w:t>-奔驰汽车金融有限公司将在中国推出全新升级的数字化端到端金融贷款流程。通过这一流程，客户可在10分钟内完成便捷、高效且安全的汽车金融贷款服务。</w:t>
      </w:r>
    </w:p>
    <w:p w14:paraId="75ED1D72" w14:textId="77777777" w:rsidR="00A51EC4" w:rsidRDefault="00A51EC4" w:rsidP="00EA49ED">
      <w:pPr>
        <w:pStyle w:val="a8"/>
        <w:numPr>
          <w:ilvl w:val="3"/>
          <w:numId w:val="17"/>
        </w:numPr>
        <w:ind w:firstLineChars="0"/>
        <w:jc w:val="left"/>
        <w:outlineLvl w:val="1"/>
      </w:pPr>
      <w:r w:rsidRPr="00A8062F">
        <w:rPr>
          <w:rFonts w:hint="eastAsia"/>
          <w:b/>
        </w:rPr>
        <w:t>比亚迪牵手歌尔丹拿</w:t>
      </w:r>
      <w:r w:rsidRPr="00A8062F">
        <w:rPr>
          <w:b/>
        </w:rPr>
        <w:t>将打造智能化解决方案</w:t>
      </w:r>
    </w:p>
    <w:p w14:paraId="248F896A" w14:textId="77777777" w:rsidR="00A51EC4" w:rsidRDefault="00A51EC4" w:rsidP="00EA49ED">
      <w:r>
        <w:t>11月10日，比亚迪和歌尔丹拿在深圳举行战略合作签约仪式。双方将以“促进汽车智能化发展”为核心，致力于提升智能网联汽车的智能水平，促进智能汽车产业生态的繁荣发展。</w:t>
      </w:r>
    </w:p>
    <w:p w14:paraId="18BDADE0" w14:textId="30355EBB" w:rsidR="00A51EC4" w:rsidRPr="00CF2EC4" w:rsidRDefault="00A51EC4" w:rsidP="00EA49ED">
      <w:r>
        <w:rPr>
          <w:rFonts w:hint="eastAsia"/>
        </w:rPr>
        <w:t>根据协议，双方将积极发挥所属领域的网络、客户、服务等广泛优势，基于战略共识，从智能座舱、声学娱乐、安全驾驶辅助等方面入手，共同为智能汽车快速发展作出贡献。</w:t>
      </w:r>
    </w:p>
    <w:p w14:paraId="3FC41B4E" w14:textId="77777777" w:rsidR="00A51EC4" w:rsidRPr="009F2C23" w:rsidRDefault="00A51EC4" w:rsidP="00EA49ED">
      <w:pPr>
        <w:pStyle w:val="a8"/>
        <w:numPr>
          <w:ilvl w:val="3"/>
          <w:numId w:val="17"/>
        </w:numPr>
        <w:ind w:firstLineChars="0"/>
        <w:jc w:val="left"/>
        <w:outlineLvl w:val="1"/>
        <w:rPr>
          <w:b/>
        </w:rPr>
      </w:pPr>
      <w:r w:rsidRPr="009F2C23">
        <w:rPr>
          <w:rFonts w:hint="eastAsia"/>
          <w:b/>
        </w:rPr>
        <w:t>川金诺拟投建年产</w:t>
      </w:r>
      <w:r w:rsidRPr="009F2C23">
        <w:rPr>
          <w:b/>
        </w:rPr>
        <w:t>10万吨磷酸铁锂项目</w:t>
      </w:r>
    </w:p>
    <w:p w14:paraId="61584A43" w14:textId="77777777" w:rsidR="00A51EC4" w:rsidRPr="00310120" w:rsidRDefault="00A51EC4" w:rsidP="00EA49ED">
      <w:r w:rsidRPr="00310120">
        <w:t>11月9日，川金诺发布公告称，公司与防城港市港口区政府拟于近日签订《项目合作框架协议书》，在防城港市投资建设“5万吨/年电池级磷酸铁锂正极材料前驱体材料磷酸铁及配套60万吨/年硫磺制酸项目”、“10万吨/年电池级磷酸铁锂正极材料项目”。</w:t>
      </w:r>
    </w:p>
    <w:p w14:paraId="2EDF79F7" w14:textId="77777777" w:rsidR="00A51EC4" w:rsidRPr="00B45605" w:rsidRDefault="00A51EC4" w:rsidP="00EA49ED">
      <w:pPr>
        <w:pStyle w:val="a8"/>
        <w:numPr>
          <w:ilvl w:val="3"/>
          <w:numId w:val="17"/>
        </w:numPr>
        <w:ind w:firstLineChars="0"/>
        <w:jc w:val="left"/>
        <w:outlineLvl w:val="1"/>
        <w:rPr>
          <w:b/>
        </w:rPr>
      </w:pPr>
      <w:r w:rsidRPr="00B45605">
        <w:rPr>
          <w:rFonts w:hint="eastAsia"/>
          <w:b/>
        </w:rPr>
        <w:t>当升科技拟在芬兰投建年产</w:t>
      </w:r>
      <w:r w:rsidRPr="00B45605">
        <w:rPr>
          <w:b/>
        </w:rPr>
        <w:t>10万吨高镍正极材料项目</w:t>
      </w:r>
    </w:p>
    <w:p w14:paraId="4E56C921" w14:textId="77777777" w:rsidR="00A51EC4" w:rsidRDefault="00A51EC4" w:rsidP="00EA49ED">
      <w:r>
        <w:t>11月8日，当升科技发布公告称，公司与芬兰矿业集团FMG签订投资意向书，以共同出资的方式在芬兰设立合资公司，当升科技拟持有合资公司70%股权。</w:t>
      </w:r>
    </w:p>
    <w:p w14:paraId="726ECD01" w14:textId="77777777" w:rsidR="00A51EC4" w:rsidRDefault="00A51EC4" w:rsidP="00EA49ED">
      <w:r>
        <w:rPr>
          <w:rFonts w:hint="eastAsia"/>
        </w:rPr>
        <w:t>该合资公司拟在芬兰建设高镍正极材料生产基地，首期规划年产能</w:t>
      </w:r>
      <w:r>
        <w:t>10万吨，其中第一阶段投资总额约5亿欧元（折合人民币约39亿元）。</w:t>
      </w:r>
    </w:p>
    <w:p w14:paraId="7927EEFA" w14:textId="77777777" w:rsidR="00A51EC4" w:rsidRPr="00273ED3" w:rsidRDefault="00A51EC4" w:rsidP="00EA49ED">
      <w:pPr>
        <w:pStyle w:val="a8"/>
        <w:numPr>
          <w:ilvl w:val="3"/>
          <w:numId w:val="17"/>
        </w:numPr>
        <w:ind w:firstLineChars="0"/>
        <w:jc w:val="left"/>
        <w:outlineLvl w:val="1"/>
        <w:rPr>
          <w:b/>
        </w:rPr>
      </w:pPr>
      <w:r w:rsidRPr="00273ED3">
        <w:rPr>
          <w:rFonts w:hint="eastAsia"/>
          <w:b/>
        </w:rPr>
        <w:t>东风商用车与中联重科再添新品</w:t>
      </w:r>
    </w:p>
    <w:p w14:paraId="0C07D546" w14:textId="77777777" w:rsidR="00A51EC4" w:rsidRDefault="00A51EC4" w:rsidP="00EA49ED">
      <w:r>
        <w:t>2021年11月9日，中联重科&amp;东风商用车国六轻量化搅拌车交付仪式在广州举行。仪式上，东风商用车和中联重科相关负责人向广东华晟混凝土搅拌有限公司交付首批10辆东风天锦KR轻量化搅拌车。</w:t>
      </w:r>
    </w:p>
    <w:p w14:paraId="238D9A00" w14:textId="77777777" w:rsidR="00A51EC4" w:rsidRDefault="00A51EC4" w:rsidP="00EA49ED">
      <w:r>
        <w:rPr>
          <w:rFonts w:hint="eastAsia"/>
        </w:rPr>
        <w:t>东风商用车与中联重科聚焦行业发展趋势和客户需求，对车辆应用场景进行深入调研，前瞻性联合开发东风天锦</w:t>
      </w:r>
      <w:r>
        <w:t>KR国六轻量化搅拌车，整车整备质量仅为11.67吨，处于行业领先水平。</w:t>
      </w:r>
    </w:p>
    <w:p w14:paraId="2E811039" w14:textId="77777777" w:rsidR="00A51EC4" w:rsidRPr="00045E70" w:rsidRDefault="00A51EC4" w:rsidP="00EA49ED">
      <w:pPr>
        <w:pStyle w:val="a8"/>
        <w:numPr>
          <w:ilvl w:val="3"/>
          <w:numId w:val="17"/>
        </w:numPr>
        <w:ind w:firstLineChars="0"/>
        <w:jc w:val="left"/>
        <w:outlineLvl w:val="1"/>
        <w:rPr>
          <w:b/>
        </w:rPr>
      </w:pPr>
      <w:r w:rsidRPr="00045E70">
        <w:rPr>
          <w:rFonts w:hint="eastAsia"/>
          <w:b/>
        </w:rPr>
        <w:t>恩捷股份与宁德时代合资投建年产</w:t>
      </w:r>
      <w:r w:rsidRPr="00045E70">
        <w:rPr>
          <w:b/>
        </w:rPr>
        <w:t>36亿平米隔膜项目</w:t>
      </w:r>
    </w:p>
    <w:p w14:paraId="28582B08" w14:textId="77777777" w:rsidR="00A51EC4" w:rsidRDefault="00A51EC4" w:rsidP="00EA49ED">
      <w:r>
        <w:t>11月10日，恩捷股份发布公告称，将与宁德时代合资投建干法及湿法隔膜项目。</w:t>
      </w:r>
    </w:p>
    <w:p w14:paraId="5977A0F4" w14:textId="77777777" w:rsidR="00A51EC4" w:rsidRDefault="00A51EC4" w:rsidP="00EA49ED">
      <w:r>
        <w:rPr>
          <w:rFonts w:hint="eastAsia"/>
        </w:rPr>
        <w:t>项目总投资额</w:t>
      </w:r>
      <w:r>
        <w:t>80亿元，注册资本15亿元，恩捷股份持股51%，宁德时代持股49%。其中，湿法隔膜项目规划年产能为16亿平方米；干法隔膜项目规划年产能为20亿平方米。</w:t>
      </w:r>
    </w:p>
    <w:p w14:paraId="5D66A2AE" w14:textId="77777777" w:rsidR="00A51EC4" w:rsidRDefault="00A51EC4" w:rsidP="00EA49ED">
      <w:r>
        <w:t>5年内，宁德时代对项目公司的隔膜产能享有优先采购权，具体定价将以双方签署的采购协议为准。</w:t>
      </w:r>
    </w:p>
    <w:p w14:paraId="3B30B122" w14:textId="77777777" w:rsidR="00A51EC4" w:rsidRPr="00E12657" w:rsidRDefault="00A51EC4" w:rsidP="00EA49ED">
      <w:pPr>
        <w:pStyle w:val="a8"/>
        <w:numPr>
          <w:ilvl w:val="3"/>
          <w:numId w:val="17"/>
        </w:numPr>
        <w:ind w:firstLineChars="0"/>
        <w:jc w:val="left"/>
        <w:outlineLvl w:val="1"/>
        <w:rPr>
          <w:b/>
        </w:rPr>
      </w:pPr>
      <w:r w:rsidRPr="00E12657">
        <w:rPr>
          <w:rFonts w:hint="eastAsia"/>
          <w:b/>
        </w:rPr>
        <w:t>恩智浦和福特合作</w:t>
      </w:r>
      <w:r w:rsidRPr="00E12657">
        <w:rPr>
          <w:b/>
        </w:rPr>
        <w:t>推出互联汽车体验和扩展服务</w:t>
      </w:r>
    </w:p>
    <w:p w14:paraId="5608397F" w14:textId="77777777" w:rsidR="00A51EC4" w:rsidRDefault="00A51EC4" w:rsidP="00EA49ED">
      <w:r>
        <w:t>11月10日，恩智浦半导体（NXPSemiconductors）宣布与福特汽车公司合作，为其全球车队提供增强的驾驶体验、便利性和服务，覆盖2021款福特F-150皮卡、福特野马MustangMach-E和BroncoSUV。福特最新的全互联汽车架构采用恩智浦的车载联网处理器和i.MX8系列处理器，可升级汽车，助力改善客户生活方式并简化拥有体验。</w:t>
      </w:r>
    </w:p>
    <w:p w14:paraId="569CE7A8" w14:textId="77777777" w:rsidR="00A51EC4" w:rsidRPr="009F2C23" w:rsidRDefault="00A51EC4" w:rsidP="00EA49ED">
      <w:pPr>
        <w:pStyle w:val="a8"/>
        <w:numPr>
          <w:ilvl w:val="3"/>
          <w:numId w:val="17"/>
        </w:numPr>
        <w:ind w:firstLineChars="0"/>
        <w:jc w:val="left"/>
        <w:outlineLvl w:val="1"/>
        <w:rPr>
          <w:b/>
        </w:rPr>
      </w:pPr>
      <w:r w:rsidRPr="009F2C23">
        <w:rPr>
          <w:rFonts w:hint="eastAsia"/>
          <w:b/>
        </w:rPr>
        <w:t>恒驰</w:t>
      </w:r>
      <w:r w:rsidRPr="009F2C23">
        <w:rPr>
          <w:b/>
        </w:rPr>
        <w:t>5LX等车型进入工信部目录</w:t>
      </w:r>
    </w:p>
    <w:p w14:paraId="5C6FF025" w14:textId="77777777" w:rsidR="00A51EC4" w:rsidRDefault="00A51EC4" w:rsidP="00EA49ED">
      <w:r w:rsidRPr="00D422AB">
        <w:t>11月9日，工信部发布第350批新车申报《公告》公示，其中恒驰5LX进入工信部申报名单，这也是恒驰汽车首次进入新车公告。</w:t>
      </w:r>
    </w:p>
    <w:p w14:paraId="7758947A" w14:textId="77777777" w:rsidR="00A51EC4" w:rsidRPr="00045E70" w:rsidRDefault="00A51EC4" w:rsidP="00EA49ED">
      <w:pPr>
        <w:pStyle w:val="a8"/>
        <w:numPr>
          <w:ilvl w:val="3"/>
          <w:numId w:val="17"/>
        </w:numPr>
        <w:ind w:firstLineChars="0"/>
        <w:jc w:val="left"/>
        <w:outlineLvl w:val="1"/>
        <w:rPr>
          <w:b/>
        </w:rPr>
      </w:pPr>
      <w:r w:rsidRPr="00045E70">
        <w:rPr>
          <w:rFonts w:hint="eastAsia"/>
          <w:b/>
        </w:rPr>
        <w:t>恒大汽车拟募集</w:t>
      </w:r>
      <w:r w:rsidRPr="00045E70">
        <w:rPr>
          <w:b/>
        </w:rPr>
        <w:t>5亿港元</w:t>
      </w:r>
    </w:p>
    <w:p w14:paraId="1C44F84B" w14:textId="77777777" w:rsidR="00A51EC4" w:rsidRPr="00FF6DBB" w:rsidRDefault="00A51EC4" w:rsidP="00EA49ED">
      <w:r w:rsidRPr="00FF6DBB">
        <w:t>11月10日，恒大汽车发布公告称，公司于11月9日与配售代理签订了配售与认购协议，通过先旧后新的方式以每股2.86港元配售1.75亿股，预期配售事项的所得款项总额为约5亿港元。这些所得款将用于恒大新能源汽车的研发及生产制造。</w:t>
      </w:r>
    </w:p>
    <w:p w14:paraId="2A03817A" w14:textId="77777777" w:rsidR="00A51EC4" w:rsidRPr="00835833" w:rsidRDefault="00A51EC4" w:rsidP="00EA49ED">
      <w:pPr>
        <w:pStyle w:val="a8"/>
        <w:numPr>
          <w:ilvl w:val="3"/>
          <w:numId w:val="17"/>
        </w:numPr>
        <w:ind w:firstLineChars="0"/>
        <w:jc w:val="left"/>
        <w:outlineLvl w:val="1"/>
      </w:pPr>
      <w:r w:rsidRPr="00B45605">
        <w:rPr>
          <w:rFonts w:hint="eastAsia"/>
          <w:b/>
        </w:rPr>
        <w:t>华友钴业拟投建年产</w:t>
      </w:r>
      <w:r w:rsidRPr="00B45605">
        <w:rPr>
          <w:b/>
        </w:rPr>
        <w:t>100万吨正极材料项目</w:t>
      </w:r>
    </w:p>
    <w:p w14:paraId="638AFD5C" w14:textId="77777777" w:rsidR="00A51EC4" w:rsidRDefault="00A51EC4" w:rsidP="00EA49ED">
      <w:r w:rsidRPr="00835833">
        <w:t>11月7日，华友钴业发布公告称，公司与兴发集团签署合作框架协议，双方将在湖北宜昌合作投资磷矿采选、磷化工、湿法磷酸、磷酸铁及磷酸铁锂材料的一体化产业，建设50万吨/年磷酸铁、50万吨/年磷酸铁锂及相关配套项目。</w:t>
      </w:r>
    </w:p>
    <w:p w14:paraId="72553BB0" w14:textId="77777777" w:rsidR="00A51EC4" w:rsidRPr="00B04C2C" w:rsidRDefault="00A51EC4" w:rsidP="00EA49ED">
      <w:pPr>
        <w:pStyle w:val="a8"/>
        <w:numPr>
          <w:ilvl w:val="3"/>
          <w:numId w:val="17"/>
        </w:numPr>
        <w:ind w:firstLineChars="0"/>
        <w:jc w:val="left"/>
        <w:outlineLvl w:val="1"/>
        <w:rPr>
          <w:b/>
        </w:rPr>
      </w:pPr>
      <w:r w:rsidRPr="00B04C2C">
        <w:rPr>
          <w:rFonts w:hint="eastAsia"/>
          <w:b/>
        </w:rPr>
        <w:t>换电试点启动</w:t>
      </w:r>
      <w:r w:rsidRPr="00B04C2C">
        <w:rPr>
          <w:b/>
        </w:rPr>
        <w:t>北京有望领跑</w:t>
      </w:r>
    </w:p>
    <w:p w14:paraId="4ADFBA89" w14:textId="77777777" w:rsidR="00A51EC4" w:rsidRDefault="00A51EC4" w:rsidP="00EA49ED">
      <w:r>
        <w:rPr>
          <w:rFonts w:hint="eastAsia"/>
        </w:rPr>
        <w:t>工业和信息化部办公厅印发《关于启动新能源汽车换电模式应用试点工作的通知》（以下简称《通知》），决定启动新能源汽车换电模式应用试点工作。纳入此次试点范围的城市共有</w:t>
      </w:r>
      <w:r>
        <w:t>11个，包含8个综合类应用以及3个重卡特色类城市。根据试点城市申报方案初步测算，预期将共推广换电车辆10余万辆，换电站1000余座。近段时间以来，自去年“换电”首次被写进政府工作报告后，各级政府部门出台了一系列关于换电模式的支持和鼓励政策，且积极推动和促进相关标准的出台，让新能源汽车换电行业对发展前景充满信心。</w:t>
      </w:r>
    </w:p>
    <w:p w14:paraId="25B40436" w14:textId="77777777" w:rsidR="00A51EC4" w:rsidRPr="009F2C23" w:rsidRDefault="00A51EC4" w:rsidP="00EA49ED">
      <w:pPr>
        <w:pStyle w:val="a8"/>
        <w:numPr>
          <w:ilvl w:val="3"/>
          <w:numId w:val="17"/>
        </w:numPr>
        <w:ind w:firstLineChars="0"/>
        <w:jc w:val="left"/>
        <w:outlineLvl w:val="1"/>
        <w:rPr>
          <w:b/>
        </w:rPr>
      </w:pPr>
      <w:r w:rsidRPr="009F2C23">
        <w:rPr>
          <w:rFonts w:hint="eastAsia"/>
          <w:b/>
        </w:rPr>
        <w:t>金圆股份</w:t>
      </w:r>
      <w:r w:rsidRPr="009F2C23">
        <w:rPr>
          <w:b/>
        </w:rPr>
        <w:t>5.1亿元收购西藏捌千错盐湖51%股权</w:t>
      </w:r>
    </w:p>
    <w:p w14:paraId="06123F8C" w14:textId="77777777" w:rsidR="00A51EC4" w:rsidRDefault="00A51EC4" w:rsidP="00EA49ED">
      <w:r>
        <w:t>11月8日，金圆股份发布公告称，公司与西藏金泰工贸有限责任公司、目标公司股东及锂源矿业签署《股权转让协议》。</w:t>
      </w:r>
    </w:p>
    <w:p w14:paraId="334B4A10" w14:textId="1A5F48A9" w:rsidR="00A51EC4" w:rsidRPr="00CF2EC4" w:rsidRDefault="00A51EC4" w:rsidP="00EA49ED">
      <w:r>
        <w:rPr>
          <w:rFonts w:hint="eastAsia"/>
        </w:rPr>
        <w:t>根据协议，金圆锂业拟出资</w:t>
      </w:r>
      <w:r>
        <w:t>5.1亿元，收购锂源矿业股东持有的51%股权。</w:t>
      </w:r>
      <w:r>
        <w:rPr>
          <w:rFonts w:hint="eastAsia"/>
        </w:rPr>
        <w:t>公告显示，锂源矿业拥有西藏革吉县捌千错盐湖采矿权。捌千错盐湖采矿权证范围内共有</w:t>
      </w:r>
      <w:r>
        <w:t>LiCl资源量10.81万吨；KCL资源量25.84万吨；B2O3资源量6.33万吨。</w:t>
      </w:r>
    </w:p>
    <w:p w14:paraId="6A651849" w14:textId="77777777" w:rsidR="00A51EC4" w:rsidRDefault="00A51EC4" w:rsidP="00EA49ED">
      <w:pPr>
        <w:pStyle w:val="a8"/>
        <w:numPr>
          <w:ilvl w:val="3"/>
          <w:numId w:val="17"/>
        </w:numPr>
        <w:ind w:firstLineChars="0"/>
        <w:jc w:val="left"/>
        <w:outlineLvl w:val="1"/>
      </w:pPr>
      <w:r w:rsidRPr="00902DD1">
        <w:rPr>
          <w:rFonts w:hint="eastAsia"/>
          <w:b/>
        </w:rPr>
        <w:t>哪吒汽车进军东盟市场战略落地</w:t>
      </w:r>
    </w:p>
    <w:p w14:paraId="0F4B8FAA" w14:textId="2D0EF381" w:rsidR="00A51EC4" w:rsidRPr="00CF2EC4" w:rsidRDefault="00A51EC4" w:rsidP="00EA49ED">
      <w:r>
        <w:t>11月10日，哪吒汽车与泰国国家石油股份有限公司（PTTPublicCompanyLimited）签署战略合作框架协议，双方正式建立长期共赢共建的合作关系。在第十八届中国-东盟博览会上，哪吒汽车发布哪吒V右舵版车型，正式宣布“出海”战略，开启全球化的新征程。</w:t>
      </w:r>
    </w:p>
    <w:p w14:paraId="60D33284" w14:textId="77777777" w:rsidR="00A51EC4" w:rsidRPr="00A8062F" w:rsidRDefault="00A51EC4" w:rsidP="00EA49ED">
      <w:pPr>
        <w:pStyle w:val="a8"/>
        <w:numPr>
          <w:ilvl w:val="3"/>
          <w:numId w:val="17"/>
        </w:numPr>
        <w:ind w:firstLineChars="0"/>
        <w:jc w:val="left"/>
        <w:outlineLvl w:val="1"/>
        <w:rPr>
          <w:b/>
        </w:rPr>
      </w:pPr>
      <w:r w:rsidRPr="00A8062F">
        <w:rPr>
          <w:rFonts w:hint="eastAsia"/>
          <w:b/>
        </w:rPr>
        <w:t>哪吒汽车与宁德时代开启全面战略合作</w:t>
      </w:r>
    </w:p>
    <w:p w14:paraId="0E46154F" w14:textId="06BADA63" w:rsidR="00A51EC4" w:rsidRPr="00CF2EC4" w:rsidRDefault="00A51EC4" w:rsidP="00EA49ED">
      <w:r>
        <w:t>11月8日，宁德时代新能源科技股份有限公司与哪吒汽车正式签署战略协议。据“哪吒汽车”微信公众号消息，宁德时代将参与D2轮融资，战略投资哪吒汽车，并在技术研发和供应链保障领域全面开启战略合作。</w:t>
      </w:r>
    </w:p>
    <w:p w14:paraId="31AC2E40" w14:textId="77777777" w:rsidR="00A51EC4" w:rsidRPr="00B45605" w:rsidRDefault="00A51EC4" w:rsidP="00EA49ED">
      <w:pPr>
        <w:pStyle w:val="a8"/>
        <w:numPr>
          <w:ilvl w:val="3"/>
          <w:numId w:val="17"/>
        </w:numPr>
        <w:ind w:firstLineChars="0"/>
        <w:jc w:val="left"/>
        <w:outlineLvl w:val="1"/>
        <w:rPr>
          <w:b/>
        </w:rPr>
      </w:pPr>
      <w:r w:rsidRPr="00B45605">
        <w:rPr>
          <w:rFonts w:hint="eastAsia"/>
          <w:b/>
        </w:rPr>
        <w:t>宁德时代投资企业龙蟠科技出海印尼</w:t>
      </w:r>
    </w:p>
    <w:p w14:paraId="357709B8" w14:textId="77777777" w:rsidR="00A51EC4" w:rsidRDefault="00A51EC4" w:rsidP="00EA49ED">
      <w:r>
        <w:t>11月8日，龙蟠科技发布公告称，公司控股子公司常州锂源拟与STELLAR在印度尼西亚投资设立合资公司，投建年产10万吨磷酸铁锂正极材料项目。</w:t>
      </w:r>
    </w:p>
    <w:p w14:paraId="099513CC" w14:textId="7361E16B" w:rsidR="00A51EC4" w:rsidRPr="00CF2EC4" w:rsidRDefault="00A51EC4" w:rsidP="00EA49ED">
      <w:r>
        <w:rPr>
          <w:rFonts w:hint="eastAsia"/>
        </w:rPr>
        <w:t>工厂选址在中苏拉威西省莫罗瓦利工业园。项目总投资约为</w:t>
      </w:r>
      <w:r>
        <w:t>2.35亿美元，常州锂源持有合资公司70%股权。</w:t>
      </w:r>
    </w:p>
    <w:p w14:paraId="37252791" w14:textId="77777777" w:rsidR="00A51EC4" w:rsidRPr="009F2C23" w:rsidRDefault="00A51EC4" w:rsidP="00EA49ED">
      <w:pPr>
        <w:pStyle w:val="a8"/>
        <w:numPr>
          <w:ilvl w:val="3"/>
          <w:numId w:val="17"/>
        </w:numPr>
        <w:ind w:firstLineChars="0"/>
        <w:jc w:val="left"/>
        <w:outlineLvl w:val="1"/>
        <w:rPr>
          <w:b/>
        </w:rPr>
      </w:pPr>
      <w:r w:rsidRPr="009F2C23">
        <w:rPr>
          <w:rFonts w:hint="eastAsia"/>
          <w:b/>
        </w:rPr>
        <w:t>青山控股拟</w:t>
      </w:r>
      <w:r w:rsidRPr="009F2C23">
        <w:rPr>
          <w:b/>
        </w:rPr>
        <w:t>3.75亿美元入股阿根廷年产2.4万吨盐湖提锂项目</w:t>
      </w:r>
    </w:p>
    <w:p w14:paraId="696B95F8" w14:textId="1303FAE1" w:rsidR="00A51EC4" w:rsidRPr="00CF2EC4" w:rsidRDefault="00A51EC4" w:rsidP="00EA49ED">
      <w:r w:rsidRPr="00926E23">
        <w:t>11月8日，法国不锈钢和镍铁巨头Eramet宣布，将引入青山控股作为合作方，重启旗下阿根廷Centenario-Ratones盐湖年产2.4万吨电池级提锂工厂项目建设。</w:t>
      </w:r>
    </w:p>
    <w:p w14:paraId="5F654CF1" w14:textId="77777777" w:rsidR="00A51EC4" w:rsidRPr="00902DD1" w:rsidRDefault="00A51EC4" w:rsidP="00EA49ED">
      <w:pPr>
        <w:pStyle w:val="a8"/>
        <w:numPr>
          <w:ilvl w:val="3"/>
          <w:numId w:val="17"/>
        </w:numPr>
        <w:ind w:firstLineChars="0"/>
        <w:jc w:val="left"/>
        <w:outlineLvl w:val="1"/>
        <w:rPr>
          <w:b/>
        </w:rPr>
      </w:pPr>
      <w:r w:rsidRPr="00902DD1">
        <w:rPr>
          <w:rFonts w:hint="eastAsia"/>
          <w:b/>
        </w:rPr>
        <w:t>上汽大众长沙工厂新能源汽车项目开工</w:t>
      </w:r>
    </w:p>
    <w:p w14:paraId="28B4E124" w14:textId="1D3762C3" w:rsidR="00A51EC4" w:rsidRPr="00CF2EC4" w:rsidRDefault="00A51EC4" w:rsidP="00EA49ED">
      <w:r>
        <w:rPr>
          <w:rFonts w:hint="eastAsia"/>
        </w:rPr>
        <w:t>上汽大众投资约</w:t>
      </w:r>
      <w:r>
        <w:t>80亿元人民币，在长沙工厂开工新建新能源汽车电池车间，并对现有生产线进行升级改造，满足后续MEB平台车型的生产。新建电池车间规划年产能15万套新能源电池，同时预留产能升级空间，为后续新能源车型的配套打下基础。</w:t>
      </w:r>
    </w:p>
    <w:p w14:paraId="3E2DF88C" w14:textId="77777777" w:rsidR="00A51EC4" w:rsidRPr="00DA1E93" w:rsidRDefault="00A51EC4" w:rsidP="00EA49ED">
      <w:pPr>
        <w:pStyle w:val="a8"/>
        <w:numPr>
          <w:ilvl w:val="3"/>
          <w:numId w:val="17"/>
        </w:numPr>
        <w:ind w:firstLineChars="0"/>
        <w:jc w:val="left"/>
        <w:outlineLvl w:val="1"/>
        <w:rPr>
          <w:b/>
        </w:rPr>
      </w:pPr>
      <w:r w:rsidRPr="00DA1E93">
        <w:rPr>
          <w:rFonts w:hint="eastAsia"/>
          <w:b/>
        </w:rPr>
        <w:t>坦克</w:t>
      </w:r>
      <w:r w:rsidRPr="00DA1E93">
        <w:rPr>
          <w:b/>
        </w:rPr>
        <w:t>300等将登陆澳大利亚市场</w:t>
      </w:r>
    </w:p>
    <w:p w14:paraId="43E03A4E" w14:textId="680E721A" w:rsidR="00A51EC4" w:rsidRPr="00CF2EC4" w:rsidRDefault="00A51EC4" w:rsidP="00EA49ED">
      <w:r>
        <w:rPr>
          <w:rFonts w:hint="eastAsia"/>
        </w:rPr>
        <w:t>长城澳大利亚官方公布，长城旗下坦克、欧拉以及炮等一系列产品将引入澳大利亚销售，并将会在</w:t>
      </w:r>
      <w:r>
        <w:t>2022年初推出哈弗H6混动版车型，此外长城炮皮卡以及欧拉的电动车也会引入澳大利亚市场。</w:t>
      </w:r>
    </w:p>
    <w:p w14:paraId="0C29A612" w14:textId="77777777" w:rsidR="00A51EC4" w:rsidRPr="00B23AB8" w:rsidRDefault="00A51EC4" w:rsidP="00EA49ED">
      <w:pPr>
        <w:pStyle w:val="a8"/>
        <w:numPr>
          <w:ilvl w:val="3"/>
          <w:numId w:val="17"/>
        </w:numPr>
        <w:ind w:firstLineChars="0"/>
        <w:jc w:val="left"/>
        <w:outlineLvl w:val="1"/>
        <w:rPr>
          <w:b/>
        </w:rPr>
      </w:pPr>
      <w:r w:rsidRPr="00B23AB8">
        <w:rPr>
          <w:rFonts w:hint="eastAsia"/>
          <w:b/>
        </w:rPr>
        <w:t>腾讯发布新一代智能座舱解决方案</w:t>
      </w:r>
      <w:r w:rsidRPr="00B23AB8">
        <w:rPr>
          <w:b/>
        </w:rPr>
        <w:t>TAI4.0</w:t>
      </w:r>
    </w:p>
    <w:p w14:paraId="5DAEFEC6" w14:textId="0689EDA1" w:rsidR="00A51EC4" w:rsidRPr="00CF2EC4" w:rsidRDefault="00A51EC4" w:rsidP="00EA49ED">
      <w:r>
        <w:rPr>
          <w:rFonts w:hint="eastAsia"/>
        </w:rPr>
        <w:t>在此前开幕的</w:t>
      </w:r>
      <w:r>
        <w:t>2021腾讯数字生态大会上，腾讯公布了全新升级的智慧出行业务版图，发布智能座舱、自动驾驶、数字营销、出行服务、汽车云数字化解决方案等涵盖产业链各环节的产品及解决方案。随着智能驾驶、人工智能等技术的发展，汽车座舱搭载和连接的服务越来越多，可实现的功能也越来越全。</w:t>
      </w:r>
    </w:p>
    <w:p w14:paraId="1D70CB3F" w14:textId="77777777" w:rsidR="00A51EC4" w:rsidRPr="00C06AF1" w:rsidRDefault="00A51EC4" w:rsidP="00EA49ED">
      <w:pPr>
        <w:pStyle w:val="a8"/>
        <w:numPr>
          <w:ilvl w:val="3"/>
          <w:numId w:val="17"/>
        </w:numPr>
        <w:ind w:firstLineChars="0"/>
        <w:jc w:val="left"/>
        <w:outlineLvl w:val="1"/>
        <w:rPr>
          <w:b/>
        </w:rPr>
      </w:pPr>
      <w:r w:rsidRPr="00C06AF1">
        <w:rPr>
          <w:rFonts w:hint="eastAsia"/>
          <w:b/>
        </w:rPr>
        <w:t>王传福退出武汉比亚迪董事长及法定代表人</w:t>
      </w:r>
    </w:p>
    <w:p w14:paraId="16E31651" w14:textId="3C9CA778" w:rsidR="00A51EC4" w:rsidRPr="00CF2EC4" w:rsidRDefault="00A51EC4" w:rsidP="00EA49ED">
      <w:r>
        <w:rPr>
          <w:rFonts w:hint="eastAsia"/>
        </w:rPr>
        <w:t>武汉比亚迪汽车有限公司发生多项工商变更，王传福退出法定代表人及董事长，由何龙接任；同时公司经营范围新增电池制造、销售；电子专用材料制造、销售；新能源汽车废旧动力蓄电池回收及梯次利用等。</w:t>
      </w:r>
    </w:p>
    <w:p w14:paraId="20DBED08" w14:textId="77777777" w:rsidR="00A51EC4" w:rsidRPr="00C06AF1" w:rsidRDefault="00A51EC4" w:rsidP="00EA49ED">
      <w:pPr>
        <w:pStyle w:val="a8"/>
        <w:numPr>
          <w:ilvl w:val="3"/>
          <w:numId w:val="17"/>
        </w:numPr>
        <w:ind w:firstLineChars="0"/>
        <w:jc w:val="left"/>
        <w:outlineLvl w:val="1"/>
        <w:rPr>
          <w:b/>
        </w:rPr>
      </w:pPr>
      <w:r w:rsidRPr="00C06AF1">
        <w:rPr>
          <w:rFonts w:hint="eastAsia"/>
          <w:b/>
        </w:rPr>
        <w:t>五菱汽车与欣旺达签合资合作意向书</w:t>
      </w:r>
    </w:p>
    <w:p w14:paraId="7E877209" w14:textId="00093EC9" w:rsidR="00A51EC4" w:rsidRPr="00CF2EC4" w:rsidRDefault="00A51EC4" w:rsidP="00EA49ED">
      <w:r>
        <w:t>五菱汽车非全资附属公司柳州五菱汽车工业有限公司与欣旺达电子股份有限公司的非全资附属公司欣旺达汽车电池签署合资合作意向书，双方有意向在广西柳州共同投资组建涵盖新能源汽车动力电池系统的合资企业。</w:t>
      </w:r>
    </w:p>
    <w:p w14:paraId="2D2EBD67" w14:textId="77777777" w:rsidR="00A51EC4" w:rsidRPr="00045E70" w:rsidRDefault="00A51EC4" w:rsidP="00EA49ED">
      <w:pPr>
        <w:pStyle w:val="a8"/>
        <w:numPr>
          <w:ilvl w:val="3"/>
          <w:numId w:val="17"/>
        </w:numPr>
        <w:ind w:firstLineChars="0"/>
        <w:jc w:val="left"/>
        <w:outlineLvl w:val="1"/>
        <w:rPr>
          <w:b/>
        </w:rPr>
      </w:pPr>
      <w:r w:rsidRPr="00045E70">
        <w:rPr>
          <w:rFonts w:hint="eastAsia"/>
          <w:b/>
        </w:rPr>
        <w:t>欣旺达拟与五菱在柳州组建锂电合资公司</w:t>
      </w:r>
    </w:p>
    <w:p w14:paraId="25E19A7A" w14:textId="31047D8D" w:rsidR="00A51EC4" w:rsidRPr="00CF2EC4" w:rsidRDefault="00A51EC4" w:rsidP="00EA49ED">
      <w:r w:rsidRPr="000B38E8">
        <w:t>11月10日，欣旺达发布公告称，公司与五菱工业已签署《合资合作意向书》，双方有意向在广西柳州共同投资组建涵盖新能源汽车动力电池系统的合资企业。</w:t>
      </w:r>
    </w:p>
    <w:p w14:paraId="5AF00878" w14:textId="77777777" w:rsidR="00A51EC4" w:rsidRPr="00A8062F" w:rsidRDefault="00A51EC4" w:rsidP="00EA49ED">
      <w:pPr>
        <w:pStyle w:val="a8"/>
        <w:numPr>
          <w:ilvl w:val="3"/>
          <w:numId w:val="17"/>
        </w:numPr>
        <w:ind w:firstLineChars="0"/>
        <w:jc w:val="left"/>
        <w:outlineLvl w:val="1"/>
        <w:rPr>
          <w:b/>
        </w:rPr>
      </w:pPr>
      <w:r w:rsidRPr="00A8062F">
        <w:rPr>
          <w:rFonts w:hint="eastAsia"/>
          <w:b/>
        </w:rPr>
        <w:t>亿纬锂能拟投建年产</w:t>
      </w:r>
      <w:r w:rsidRPr="00A8062F">
        <w:rPr>
          <w:b/>
        </w:rPr>
        <w:t>152.61GWh锂电池生产基地</w:t>
      </w:r>
    </w:p>
    <w:p w14:paraId="4581CEBE" w14:textId="77777777" w:rsidR="00A51EC4" w:rsidRDefault="00A51EC4" w:rsidP="00EA49ED">
      <w:r>
        <w:t>11月4日盘后，亿纬锂能（300014）发布公告称，受益于新能源汽车行业蓬勃发展，结合公司动力储能电池项目实际情况及未来经营发展规划，为争取更多政策支持，公司与荆门市人民政府签订《战略投资协议》。</w:t>
      </w:r>
    </w:p>
    <w:p w14:paraId="33E7C8C5" w14:textId="3580F61D" w:rsidR="00A51EC4" w:rsidRPr="00CF2EC4" w:rsidRDefault="00A51EC4" w:rsidP="00EA49ED">
      <w:r>
        <w:rPr>
          <w:rFonts w:hint="eastAsia"/>
        </w:rPr>
        <w:t>协议显示，亿纬锂能将拟通过其注册在荆门市掇刀区的子公司，在荆门分期投资</w:t>
      </w:r>
      <w:r>
        <w:t>305.21亿元，用于建设年产152.61GWh的锂电池及系统研发生产基地。荆门市政府为荆门动力储能电池产业园建设和锂离子动力储能电池配套产业的引入提供必要的支持和协助。</w:t>
      </w:r>
    </w:p>
    <w:p w14:paraId="5E0E059B" w14:textId="77777777" w:rsidR="00A51EC4" w:rsidRPr="00175091" w:rsidRDefault="00A51EC4" w:rsidP="00EA49ED">
      <w:pPr>
        <w:pStyle w:val="a8"/>
        <w:numPr>
          <w:ilvl w:val="3"/>
          <w:numId w:val="17"/>
        </w:numPr>
        <w:ind w:firstLineChars="0"/>
        <w:jc w:val="left"/>
        <w:outlineLvl w:val="1"/>
        <w:rPr>
          <w:b/>
        </w:rPr>
      </w:pPr>
      <w:r w:rsidRPr="00175091">
        <w:rPr>
          <w:rFonts w:hint="eastAsia"/>
          <w:b/>
        </w:rPr>
        <w:t>银隆新能源正式更名为“格力钛新能源”</w:t>
      </w:r>
    </w:p>
    <w:p w14:paraId="5AF9F58E" w14:textId="77777777" w:rsidR="00A51EC4" w:rsidRDefault="00A51EC4" w:rsidP="00EA49ED">
      <w:r>
        <w:t>11月11日，银隆新能源官微发布《关于公司更名为格力钛新能源股份有限公司的公告》。根据公司发展需要，经国家市场监督管理总局核准，自2021年11月9日起，“银隆新能源股份有限公司”更名为“格力钛新能源股份有限公司”。</w:t>
      </w:r>
    </w:p>
    <w:p w14:paraId="424E3828" w14:textId="77777777" w:rsidR="00A51EC4" w:rsidRDefault="00A51EC4" w:rsidP="00EA49ED">
      <w:r>
        <w:rPr>
          <w:rFonts w:hint="eastAsia"/>
        </w:rPr>
        <w:t>原公司所有业务由“格力钛新能源股份有限公司”继续经营，各类经营活动正常开展。</w:t>
      </w:r>
    </w:p>
    <w:p w14:paraId="4DCD1BC4" w14:textId="632B7124" w:rsidR="00A51EC4" w:rsidRDefault="00A51EC4" w:rsidP="00EA49ED">
      <w:pPr>
        <w:rPr>
          <w:rFonts w:cs="宋体"/>
          <w:b/>
          <w:bCs/>
          <w:i/>
          <w:iCs/>
        </w:rPr>
      </w:pPr>
    </w:p>
    <w:p w14:paraId="64C4872A" w14:textId="77777777" w:rsidR="00EA49ED" w:rsidRPr="00D02F70" w:rsidRDefault="00EA49ED" w:rsidP="00EA49ED">
      <w:pPr>
        <w:pStyle w:val="a8"/>
        <w:numPr>
          <w:ilvl w:val="0"/>
          <w:numId w:val="4"/>
        </w:numPr>
        <w:ind w:firstLineChars="0"/>
        <w:outlineLvl w:val="0"/>
        <w:rPr>
          <w:b/>
        </w:rPr>
      </w:pPr>
      <w:r>
        <w:rPr>
          <w:rFonts w:hint="eastAsia"/>
          <w:b/>
        </w:rPr>
        <w:t>行业信息</w:t>
      </w:r>
    </w:p>
    <w:p w14:paraId="759D28A4" w14:textId="77777777" w:rsidR="00A51EC4" w:rsidRPr="00A8062F" w:rsidRDefault="00A51EC4" w:rsidP="00790A6A">
      <w:pPr>
        <w:pStyle w:val="a8"/>
        <w:numPr>
          <w:ilvl w:val="0"/>
          <w:numId w:val="22"/>
        </w:numPr>
        <w:ind w:firstLineChars="0"/>
        <w:outlineLvl w:val="1"/>
        <w:rPr>
          <w:b/>
        </w:rPr>
      </w:pPr>
      <w:r w:rsidRPr="00A8062F">
        <w:rPr>
          <w:b/>
        </w:rPr>
        <w:t>10月动力电池装车量15.4GWh环比下降1.8%</w:t>
      </w:r>
    </w:p>
    <w:p w14:paraId="292D1A95" w14:textId="77777777" w:rsidR="00A51EC4" w:rsidRDefault="00A51EC4" w:rsidP="00EA49ED">
      <w:r>
        <w:t>11月10日，中国汽车动力电池产业创新联盟发布10月新能源汽车电池产销量及装车量数据。宁德时代、比亚迪、国轩高科、中航锂电、塔菲尔新能源分列前五。</w:t>
      </w:r>
    </w:p>
    <w:p w14:paraId="42619B79" w14:textId="77777777" w:rsidR="00A51EC4" w:rsidRDefault="00A51EC4" w:rsidP="00EA49ED">
      <w:r>
        <w:t xml:space="preserve">10月，我国动力电池产量共计25.1GWh，同比增长191.6%，环比增长8.4%。1-10月，我国动力电池产量累计159.8GWh，同比累计增长250.0%。　</w:t>
      </w:r>
    </w:p>
    <w:p w14:paraId="611C6D27" w14:textId="18F7A331" w:rsidR="00A51EC4" w:rsidRPr="00CF2EC4" w:rsidRDefault="00A51EC4" w:rsidP="00EA49ED">
      <w:r>
        <w:t>10月，我国动力电池装车量15.4GWh，同比上升162.8%，环比下降1.8%。前10月，我国动力电池装车量累计107.5GWh,同比累计上升168.1%。</w:t>
      </w:r>
    </w:p>
    <w:p w14:paraId="1A944F48" w14:textId="77777777" w:rsidR="00A51EC4" w:rsidRPr="00B45605" w:rsidRDefault="00A51EC4" w:rsidP="00790A6A">
      <w:pPr>
        <w:pStyle w:val="a8"/>
        <w:numPr>
          <w:ilvl w:val="0"/>
          <w:numId w:val="22"/>
        </w:numPr>
        <w:ind w:firstLineChars="0"/>
        <w:outlineLvl w:val="1"/>
        <w:rPr>
          <w:b/>
        </w:rPr>
      </w:pPr>
      <w:r w:rsidRPr="00B45605">
        <w:rPr>
          <w:b/>
        </w:rPr>
        <w:t>10月新能源乘用车批发销量36.8万辆环比增6.3%</w:t>
      </w:r>
    </w:p>
    <w:p w14:paraId="3DCF7F36" w14:textId="0FA08F7B" w:rsidR="00A51EC4" w:rsidRPr="00CF2EC4" w:rsidRDefault="00A51EC4" w:rsidP="00EA49ED">
      <w:r w:rsidRPr="00835833">
        <w:t>乘联会发布数据显示，10月新能源乘用车批发销量达到36.8万辆，环比增长6.3%，同比增长148.1%。1-10月新能源乘用车批发238.1万辆，同比增长204.3%。</w:t>
      </w:r>
    </w:p>
    <w:p w14:paraId="5C501E32" w14:textId="77777777" w:rsidR="00A51EC4" w:rsidRPr="00902DD1" w:rsidRDefault="00A51EC4" w:rsidP="00790A6A">
      <w:pPr>
        <w:pStyle w:val="a8"/>
        <w:numPr>
          <w:ilvl w:val="0"/>
          <w:numId w:val="22"/>
        </w:numPr>
        <w:ind w:firstLineChars="0"/>
        <w:outlineLvl w:val="1"/>
        <w:rPr>
          <w:b/>
        </w:rPr>
      </w:pPr>
      <w:r w:rsidRPr="00902DD1">
        <w:rPr>
          <w:rFonts w:hint="eastAsia"/>
          <w:b/>
        </w:rPr>
        <w:t>北京机动车排放检验管理规范拟征求意见</w:t>
      </w:r>
    </w:p>
    <w:p w14:paraId="7BDBC385" w14:textId="4DEE75E2" w:rsidR="00A51EC4" w:rsidRPr="00CF2EC4" w:rsidRDefault="00A51EC4" w:rsidP="00EA49ED">
      <w:r>
        <w:rPr>
          <w:rFonts w:hint="eastAsia"/>
        </w:rPr>
        <w:t>北京市生态环境局制定了《北京市机动车排放检验管理规范（征求意见稿）》，现向社会公开征求意见，该技术性指导文件主要包括：机动车排放检验机构联网主要设备配置清单、机动车排放检验机构联网数据采集项目、机动车排放检验机构联网接口协议等内容。</w:t>
      </w:r>
    </w:p>
    <w:p w14:paraId="38E8C43F" w14:textId="77777777" w:rsidR="00A51EC4" w:rsidRPr="00050813" w:rsidRDefault="00A51EC4" w:rsidP="00790A6A">
      <w:pPr>
        <w:pStyle w:val="a8"/>
        <w:numPr>
          <w:ilvl w:val="0"/>
          <w:numId w:val="22"/>
        </w:numPr>
        <w:ind w:firstLineChars="0"/>
        <w:outlineLvl w:val="1"/>
        <w:rPr>
          <w:b/>
        </w:rPr>
      </w:pPr>
      <w:r w:rsidRPr="00050813">
        <w:rPr>
          <w:rFonts w:hint="eastAsia"/>
          <w:b/>
        </w:rPr>
        <w:t>充电联盟</w:t>
      </w:r>
      <w:r w:rsidRPr="00050813">
        <w:rPr>
          <w:b/>
        </w:rPr>
        <w:t>:全国充电桩保有量225.3万台</w:t>
      </w:r>
    </w:p>
    <w:p w14:paraId="54BD7356" w14:textId="77777777" w:rsidR="00A51EC4" w:rsidRDefault="00A51EC4" w:rsidP="00EA49ED">
      <w:r>
        <w:t>11月10日，中国电动汽车充电基础设施促进联盟发布10月充电桩运营数据。2021年10月比2021年9月公共充电桩增加1.80万台，10月同比增长59.4%。</w:t>
      </w:r>
    </w:p>
    <w:p w14:paraId="02FE8AE7" w14:textId="77777777" w:rsidR="00A51EC4" w:rsidRDefault="00A51EC4" w:rsidP="00EA49ED">
      <w:r>
        <w:rPr>
          <w:rFonts w:hint="eastAsia"/>
        </w:rPr>
        <w:t>截至</w:t>
      </w:r>
      <w:r>
        <w:t>2021年10月，联盟内成员单位总计上报公共类充电桩106.2万台，其中直流充电桩43.6万台、交流充电桩62.6万台、交直流一体充电桩406台。从2020年11月到2021年10月，月均新增公共类充电桩约3.30万台。</w:t>
      </w:r>
    </w:p>
    <w:p w14:paraId="3EE0666A" w14:textId="11EB5898" w:rsidR="00A51EC4" w:rsidRPr="00CF2EC4" w:rsidRDefault="00A51EC4" w:rsidP="00EA49ED">
      <w:r>
        <w:t>2021年1-10月，充电基础设施增量为57.2万台，公共充电基础设施增量同比上涨69.8%，随车配建充电设施增量持续上升，同比上升147.0%。</w:t>
      </w:r>
    </w:p>
    <w:p w14:paraId="7B5D9C04" w14:textId="77777777" w:rsidR="00A51EC4" w:rsidRPr="00175091" w:rsidRDefault="00A51EC4" w:rsidP="00790A6A">
      <w:pPr>
        <w:pStyle w:val="a8"/>
        <w:numPr>
          <w:ilvl w:val="0"/>
          <w:numId w:val="22"/>
        </w:numPr>
        <w:ind w:firstLineChars="0"/>
        <w:outlineLvl w:val="1"/>
        <w:rPr>
          <w:b/>
        </w:rPr>
      </w:pPr>
      <w:r w:rsidRPr="00175091">
        <w:rPr>
          <w:rFonts w:hint="eastAsia"/>
          <w:b/>
        </w:rPr>
        <w:t>前三季度出口量同比增长</w:t>
      </w:r>
      <w:r w:rsidRPr="00175091">
        <w:rPr>
          <w:b/>
        </w:rPr>
        <w:t>1.4倍</w:t>
      </w:r>
    </w:p>
    <w:p w14:paraId="51374940" w14:textId="77777777" w:rsidR="00A51EC4" w:rsidRDefault="00A51EC4" w:rsidP="00A51EC4">
      <w:r>
        <w:rPr>
          <w:rFonts w:hint="eastAsia"/>
        </w:rPr>
        <w:t>自</w:t>
      </w:r>
      <w:r>
        <w:t>2019年4月，我国启动二手车出口业务以来，截至9月已累计出口1.4万辆，出口金额突破1亿美元，销往全球102个国家和地区。尤其是今年前三个季度，实现二手车出口6816辆，金额7217.2万美元，同比分别增长1.4倍和4.2倍；车辆平均单价1.1万美元，同比增长1.1倍。</w:t>
      </w:r>
    </w:p>
    <w:p w14:paraId="56360067" w14:textId="0FC4C765" w:rsidR="00A51EC4" w:rsidRPr="00CF2EC4" w:rsidRDefault="00A51EC4" w:rsidP="00A51EC4">
      <w:r>
        <w:rPr>
          <w:rFonts w:hint="eastAsia"/>
        </w:rPr>
        <w:t>《指南》显示，截至</w:t>
      </w:r>
      <w:r>
        <w:t>2021年9月，全国二手车出口企业共计139家，涵盖二手车交易市场、经销企业、二手车电商平台、平行进口企业、主机厂相关企业等。出口金额前10位的企业累计出口二手车8207辆，占比75.4%；出口金额5048.2万美元，占比73.3%。其中，出口金额超过1000万美元的有两家。</w:t>
      </w:r>
    </w:p>
    <w:p w14:paraId="37A843A5" w14:textId="4FF5EECD" w:rsidR="00A51EC4" w:rsidRPr="00CF2EC4" w:rsidRDefault="00CF2EC4" w:rsidP="00CF2EC4">
      <w:pPr>
        <w:jc w:val="left"/>
        <w:outlineLvl w:val="1"/>
        <w:rPr>
          <w:b/>
        </w:rPr>
      </w:pPr>
      <w:r>
        <w:rPr>
          <w:rFonts w:hint="eastAsia"/>
          <w:b/>
        </w:rPr>
        <w:t>6</w:t>
      </w:r>
      <w:r>
        <w:rPr>
          <w:b/>
        </w:rPr>
        <w:t>.</w:t>
      </w:r>
      <w:r w:rsidR="00A51EC4" w:rsidRPr="00CF2EC4">
        <w:rPr>
          <w:rFonts w:hint="eastAsia"/>
          <w:b/>
        </w:rPr>
        <w:t>中国人保前</w:t>
      </w:r>
      <w:r w:rsidR="00A51EC4" w:rsidRPr="00CF2EC4">
        <w:rPr>
          <w:b/>
        </w:rPr>
        <w:t>10月保费收入达4886亿元</w:t>
      </w:r>
    </w:p>
    <w:p w14:paraId="4D37E8AF" w14:textId="77777777" w:rsidR="00A51EC4" w:rsidRDefault="00A51EC4" w:rsidP="00B86C7C">
      <w:r>
        <w:t>11月11日，中国人保发布2021年前10月保费收入公告。公告显示，今年前10月，中国人保合计实现保费收入约为4886.72亿元，同比微增0.74%。</w:t>
      </w:r>
    </w:p>
    <w:p w14:paraId="74E64FF2" w14:textId="77777777" w:rsidR="00A51EC4" w:rsidRDefault="00A51EC4" w:rsidP="00B86C7C">
      <w:r>
        <w:rPr>
          <w:rFonts w:hint="eastAsia"/>
        </w:rPr>
        <w:t>分公司来看，人保财险方面，车险和信用保证险持续收缩，分别实现保费收入为</w:t>
      </w:r>
      <w:r>
        <w:t>2036.78亿元和20.09亿元，同比减少6.9%和61.7%。</w:t>
      </w:r>
    </w:p>
    <w:p w14:paraId="4295F6F7" w14:textId="2C06C336" w:rsidR="00A51EC4" w:rsidRDefault="00A51EC4" w:rsidP="00B86C7C">
      <w:pPr>
        <w:rPr>
          <w:rFonts w:cs="宋体"/>
          <w:b/>
          <w:bCs/>
          <w:i/>
          <w:iCs/>
        </w:rPr>
      </w:pPr>
    </w:p>
    <w:p w14:paraId="245F8C8F" w14:textId="77777777" w:rsidR="00EA49ED" w:rsidRPr="00CC5738" w:rsidRDefault="00EA49ED" w:rsidP="00EA49ED">
      <w:pPr>
        <w:pStyle w:val="a8"/>
        <w:numPr>
          <w:ilvl w:val="0"/>
          <w:numId w:val="4"/>
        </w:numPr>
        <w:ind w:firstLineChars="0"/>
        <w:outlineLvl w:val="0"/>
        <w:rPr>
          <w:b/>
        </w:rPr>
      </w:pPr>
      <w:r w:rsidRPr="002009FE">
        <w:rPr>
          <w:rFonts w:cs="宋体" w:hint="eastAsia"/>
          <w:b/>
          <w:bCs/>
        </w:rPr>
        <w:t>跨国集团和国际市场</w:t>
      </w:r>
    </w:p>
    <w:p w14:paraId="6E763BF1" w14:textId="77777777" w:rsidR="00A51EC4" w:rsidRDefault="00A51EC4" w:rsidP="00EA49ED">
      <w:pPr>
        <w:pStyle w:val="a8"/>
        <w:numPr>
          <w:ilvl w:val="0"/>
          <w:numId w:val="21"/>
        </w:numPr>
        <w:ind w:firstLineChars="0"/>
        <w:outlineLvl w:val="1"/>
      </w:pPr>
      <w:r w:rsidRPr="006E0122">
        <w:rPr>
          <w:b/>
        </w:rPr>
        <w:t>FF官宣:汉福德工厂获得最终生产使用资质</w:t>
      </w:r>
    </w:p>
    <w:p w14:paraId="48E6772C" w14:textId="77777777" w:rsidR="00A51EC4" w:rsidRDefault="00A51EC4" w:rsidP="00EA49ED">
      <w:r>
        <w:rPr>
          <w:rFonts w:hint="eastAsia"/>
        </w:rPr>
        <w:t>总部位于美国加州的全球共享智能电动出行生态系统公司</w:t>
      </w:r>
      <w:r>
        <w:t>FaradayFutureIntelligentElectricInc.宣布，公司收到了由加州汉福德市市长FranciscoRamirez亲自颁发的汉福德工厂主生产车间的最终生产使用资质。工厂已竣工的设施将用于最后一批工艺卓越且极具匠人精神的极智科技奢华FF91预量产车的生产。</w:t>
      </w:r>
    </w:p>
    <w:p w14:paraId="028E4CC6" w14:textId="4C258C84" w:rsidR="00A51EC4" w:rsidRPr="00A85374" w:rsidRDefault="00A51EC4" w:rsidP="00A85374">
      <w:r>
        <w:t>FF正在将汉福德工厂打造成领先世界的先进生产基地，应用足以媲美世界顶级豪华汽车制造商的最先进自动化生产流程和高度熟练工艺。与此同时，FF也在加大汉福德工厂以及其他职能部门的招聘力度，如工程、供应链、设计、市场、品牌、销售及其他领域等。</w:t>
      </w:r>
    </w:p>
    <w:p w14:paraId="2823F2DE" w14:textId="77777777" w:rsidR="00A51EC4" w:rsidRPr="006E0122" w:rsidRDefault="00A51EC4" w:rsidP="00EA49ED">
      <w:pPr>
        <w:pStyle w:val="a8"/>
        <w:numPr>
          <w:ilvl w:val="0"/>
          <w:numId w:val="21"/>
        </w:numPr>
        <w:ind w:firstLineChars="0"/>
        <w:outlineLvl w:val="1"/>
        <w:rPr>
          <w:b/>
        </w:rPr>
      </w:pPr>
      <w:r w:rsidRPr="006E0122">
        <w:rPr>
          <w:b/>
        </w:rPr>
        <w:t>MINI发布全新品牌战略中国成全球战略重点</w:t>
      </w:r>
    </w:p>
    <w:p w14:paraId="0628E534" w14:textId="77777777" w:rsidR="00A51EC4" w:rsidRDefault="00A51EC4" w:rsidP="00EA49ED">
      <w:r>
        <w:t>11月11日，MINI品牌发布全新品牌战略；MINI中国区副总裁博朗瑞从可持续理念、多元品牌文化、数字创新和品牌及产品规划等方面进行相关解读。按照MINI品牌的战略规划，到2030年初，MINI将成为宝马集团旗下首个实现纯电动化的品牌。</w:t>
      </w:r>
    </w:p>
    <w:p w14:paraId="69EDA8FF" w14:textId="77777777" w:rsidR="00A51EC4" w:rsidRDefault="00A51EC4" w:rsidP="00EA49ED">
      <w:r>
        <w:rPr>
          <w:rFonts w:hint="eastAsia"/>
        </w:rPr>
        <w:t>到</w:t>
      </w:r>
      <w:r>
        <w:t>2030年MINI的单车碳排放将较2019年减少至少一半；据悉，截至目前，MINI在全球的生产已全面实现零碳排。</w:t>
      </w:r>
    </w:p>
    <w:p w14:paraId="0BAC7AFA" w14:textId="63CA3982" w:rsidR="00A51EC4" w:rsidRDefault="00A51EC4" w:rsidP="00EA49ED">
      <w:r>
        <w:rPr>
          <w:rFonts w:hint="eastAsia"/>
        </w:rPr>
        <w:t>此外，博朗瑞透露，预计到</w:t>
      </w:r>
      <w:r>
        <w:t>2027年，MINI纯电动车在全球的比率将达到50%，中国市场比率将更高；2023年MINI将在中国生产制造两款纯电动车型，中国成为MINI全球战略的重点，未来MINI在中国市场在夯实品牌基础的同时也将继续更新产品阵列。</w:t>
      </w:r>
    </w:p>
    <w:p w14:paraId="72F67733" w14:textId="77777777" w:rsidR="00A51EC4" w:rsidRPr="009F2C23" w:rsidRDefault="00A51EC4" w:rsidP="00EA49ED">
      <w:pPr>
        <w:pStyle w:val="a8"/>
        <w:numPr>
          <w:ilvl w:val="0"/>
          <w:numId w:val="21"/>
        </w:numPr>
        <w:ind w:firstLineChars="0"/>
        <w:outlineLvl w:val="1"/>
        <w:rPr>
          <w:b/>
        </w:rPr>
      </w:pPr>
      <w:r w:rsidRPr="009F2C23">
        <w:rPr>
          <w:b/>
        </w:rPr>
        <w:t>Uber第三季营收增长72%调整后利润首获利</w:t>
      </w:r>
    </w:p>
    <w:p w14:paraId="01202022" w14:textId="5A01C911" w:rsidR="00A51EC4" w:rsidRPr="00A85374" w:rsidRDefault="00A51EC4" w:rsidP="00A85374">
      <w:r w:rsidRPr="00032B6C">
        <w:t>11月4日，Uber发布三季报，该季营收为48亿美元，比去年同期增长72%。此外，该季Uber的调整后税息折旧与摊销前利润（AdjustedEBITDA）为800万美元，是Uber上市以来的本业首度获利，不过，由于Uber持有的滴滴出行股价大跌，导致该季仍亏损24亿美元。</w:t>
      </w:r>
    </w:p>
    <w:p w14:paraId="487D7B1D" w14:textId="77777777" w:rsidR="00A51EC4" w:rsidRPr="00A8062F" w:rsidRDefault="00A51EC4" w:rsidP="00EA49ED">
      <w:pPr>
        <w:pStyle w:val="a8"/>
        <w:numPr>
          <w:ilvl w:val="0"/>
          <w:numId w:val="21"/>
        </w:numPr>
        <w:ind w:firstLineChars="0"/>
        <w:outlineLvl w:val="1"/>
        <w:rPr>
          <w:b/>
        </w:rPr>
      </w:pPr>
      <w:r w:rsidRPr="00A8062F">
        <w:rPr>
          <w:rFonts w:hint="eastAsia"/>
          <w:b/>
        </w:rPr>
        <w:t>传英国将建造稀土永磁工厂</w:t>
      </w:r>
    </w:p>
    <w:p w14:paraId="10E8DB4F" w14:textId="77777777" w:rsidR="00A51EC4" w:rsidRDefault="00A51EC4" w:rsidP="00EA49ED">
      <w:r>
        <w:rPr>
          <w:rFonts w:hint="eastAsia"/>
        </w:rPr>
        <w:t>在政府支持下，英国可能会恢复在国内生产用于电动汽车和风力涡轮机的稀土永磁，来减少对中国的依赖，并实现削减碳排放的目标。</w:t>
      </w:r>
    </w:p>
    <w:p w14:paraId="2F21AC52" w14:textId="0B90D44C" w:rsidR="00A51EC4" w:rsidRPr="00A85374" w:rsidRDefault="00A51EC4" w:rsidP="00EA49ED">
      <w:r>
        <w:rPr>
          <w:rFonts w:hint="eastAsia"/>
        </w:rPr>
        <w:t>知情人士称，英国政府在报告中概述了如何在</w:t>
      </w:r>
      <w:r>
        <w:t>2024年之前建造一座工厂，最终生产足够的稀土永磁，每年可供应100万辆电动汽车。</w:t>
      </w:r>
    </w:p>
    <w:p w14:paraId="39DC8B53" w14:textId="77777777" w:rsidR="00A51EC4" w:rsidRPr="00045E70" w:rsidRDefault="00A51EC4" w:rsidP="00EA49ED">
      <w:pPr>
        <w:pStyle w:val="a8"/>
        <w:numPr>
          <w:ilvl w:val="0"/>
          <w:numId w:val="21"/>
        </w:numPr>
        <w:ind w:firstLineChars="0"/>
        <w:outlineLvl w:val="1"/>
        <w:rPr>
          <w:b/>
        </w:rPr>
      </w:pPr>
      <w:r w:rsidRPr="00045E70">
        <w:rPr>
          <w:rFonts w:hint="eastAsia"/>
          <w:b/>
        </w:rPr>
        <w:t>大众或新建电动汽车工厂以对抗特斯拉</w:t>
      </w:r>
    </w:p>
    <w:p w14:paraId="277CA6EB" w14:textId="289FC7C7" w:rsidR="00A51EC4" w:rsidRPr="00A85374" w:rsidRDefault="00A51EC4" w:rsidP="00A85374">
      <w:r w:rsidRPr="00FF6DBB">
        <w:t>9日，大众汽车表示，随着特斯拉柏林超级工厂投产的临近，该公司计划在其德国沃尔夫斯堡总部附近新建一座电动汽车工厂，希望以此来提高自己的竞争力。</w:t>
      </w:r>
    </w:p>
    <w:p w14:paraId="741C3ACB" w14:textId="77777777" w:rsidR="00A51EC4" w:rsidRPr="000C7A8E" w:rsidRDefault="00A51EC4" w:rsidP="00EA49ED">
      <w:pPr>
        <w:pStyle w:val="a8"/>
        <w:numPr>
          <w:ilvl w:val="0"/>
          <w:numId w:val="21"/>
        </w:numPr>
        <w:ind w:firstLineChars="0"/>
        <w:outlineLvl w:val="1"/>
        <w:rPr>
          <w:b/>
        </w:rPr>
      </w:pPr>
      <w:r w:rsidRPr="000C7A8E">
        <w:rPr>
          <w:b/>
        </w:rPr>
        <w:t>富士康收购Lordstown股份</w:t>
      </w:r>
      <w:r w:rsidRPr="000C7A8E">
        <w:rPr>
          <w:rFonts w:hint="eastAsia"/>
          <w:b/>
        </w:rPr>
        <w:t>斥资</w:t>
      </w:r>
      <w:r w:rsidRPr="000C7A8E">
        <w:rPr>
          <w:b/>
        </w:rPr>
        <w:t>5000万美元</w:t>
      </w:r>
    </w:p>
    <w:p w14:paraId="7A086B23" w14:textId="77777777" w:rsidR="00A51EC4" w:rsidRDefault="00A51EC4" w:rsidP="00EA49ED">
      <w:r>
        <w:rPr>
          <w:rFonts w:hint="eastAsia"/>
        </w:rPr>
        <w:t>美东时间</w:t>
      </w:r>
      <w:r>
        <w:t>11月10日，美国电动汽车制造商LordstownMotors表示，富士康已从该公司手中购买了价值5,000万美元的股票，敲定了其在9月宣布的股权投资计划。Lordstown表示，富士康以每股6.8983美元的价格收购了这些股份。</w:t>
      </w:r>
    </w:p>
    <w:p w14:paraId="03BF0530" w14:textId="178F30E1" w:rsidR="00A51EC4" w:rsidRPr="00A85374" w:rsidRDefault="00A51EC4" w:rsidP="00EA49ED">
      <w:r>
        <w:rPr>
          <w:rFonts w:hint="eastAsia"/>
        </w:rPr>
        <w:t>根据双方达成的资产购买协议，</w:t>
      </w:r>
      <w:r>
        <w:t>Lordstown同意富士康以2.3亿美元收购其在俄亥俄州的一家工厂。富士康同意在11月18日前支付1亿美元的定金，随后在2022年2月1日和2022年4月15日前各支付5000万美元的款项。此外，富士康还将接管该公司全尺寸电动皮卡Endurance的生产。</w:t>
      </w:r>
    </w:p>
    <w:p w14:paraId="5236C652" w14:textId="77777777" w:rsidR="00A51EC4" w:rsidRPr="00EE2278" w:rsidRDefault="00A51EC4" w:rsidP="00EA49ED">
      <w:pPr>
        <w:pStyle w:val="a8"/>
        <w:numPr>
          <w:ilvl w:val="0"/>
          <w:numId w:val="21"/>
        </w:numPr>
        <w:ind w:firstLineChars="0"/>
        <w:outlineLvl w:val="1"/>
        <w:rPr>
          <w:b/>
        </w:rPr>
      </w:pPr>
      <w:r w:rsidRPr="00EE2278">
        <w:rPr>
          <w:rFonts w:hint="eastAsia"/>
          <w:b/>
        </w:rPr>
        <w:t>利润</w:t>
      </w:r>
      <w:r w:rsidRPr="00EE2278">
        <w:rPr>
          <w:b/>
        </w:rPr>
        <w:t>634亿日元日产汽车发布二季度财报</w:t>
      </w:r>
    </w:p>
    <w:p w14:paraId="68E9B9A7" w14:textId="71F754CB" w:rsidR="00A51EC4" w:rsidRPr="00A85374" w:rsidRDefault="00A51EC4" w:rsidP="00EA49ED">
      <w:r>
        <w:rPr>
          <w:rFonts w:hint="eastAsia"/>
        </w:rPr>
        <w:t>日产汽车有限公司发布了第二季度财报。其报告期内综合营业利润为</w:t>
      </w:r>
      <w:r>
        <w:t>634亿日元，而去年同期为亏损48亿日元。合并净收入为1.94万亿日元，高于去年的1.92万亿日元。此外，该公司再次上调了其2021财年展望。对于今年，该公司现在预计净收入为1800亿日元，而此前估计为600亿日元。现在预计营业利润为1800亿日元，而此前预期为1500亿日元。</w:t>
      </w:r>
    </w:p>
    <w:p w14:paraId="69843593" w14:textId="77777777" w:rsidR="00A51EC4" w:rsidRPr="000C7A8E" w:rsidRDefault="00A51EC4" w:rsidP="00EA49ED">
      <w:pPr>
        <w:pStyle w:val="a8"/>
        <w:numPr>
          <w:ilvl w:val="0"/>
          <w:numId w:val="21"/>
        </w:numPr>
        <w:ind w:firstLineChars="0"/>
        <w:outlineLvl w:val="1"/>
        <w:rPr>
          <w:b/>
        </w:rPr>
      </w:pPr>
      <w:r w:rsidRPr="000C7A8E">
        <w:rPr>
          <w:rFonts w:hint="eastAsia"/>
          <w:b/>
        </w:rPr>
        <w:t>六家车企签署承诺</w:t>
      </w:r>
      <w:r w:rsidRPr="000C7A8E">
        <w:rPr>
          <w:b/>
        </w:rPr>
        <w:t>2040年前淘汰燃油车</w:t>
      </w:r>
    </w:p>
    <w:p w14:paraId="1008368D" w14:textId="77777777" w:rsidR="00A51EC4" w:rsidRDefault="00A51EC4" w:rsidP="00EA49ED">
      <w:r>
        <w:rPr>
          <w:rFonts w:hint="eastAsia"/>
        </w:rPr>
        <w:t>英国在</w:t>
      </w:r>
      <w:r>
        <w:t>COP26气候大会期间发布的一份声明，6家主要汽车制造商承诺，到2040年在全球范围内逐步停止化石燃料汽车的生产。</w:t>
      </w:r>
    </w:p>
    <w:p w14:paraId="26217326" w14:textId="77777777" w:rsidR="00A51EC4" w:rsidRDefault="00A51EC4" w:rsidP="00EA49ED">
      <w:r>
        <w:rPr>
          <w:rFonts w:hint="eastAsia"/>
        </w:rPr>
        <w:t>根据这份声明，沃尔沃、福特、通用汽车、戴姆勒旗下的梅赛德斯</w:t>
      </w:r>
      <w:r>
        <w:t>-奔驰、比亚迪和印度塔塔汽车旗下的捷豹路虎将在格拉斯哥举行的气候大会上签署承诺。</w:t>
      </w:r>
    </w:p>
    <w:p w14:paraId="1FF93DC3" w14:textId="6C233DE2" w:rsidR="00A51EC4" w:rsidRDefault="00A51EC4" w:rsidP="00EA49ED">
      <w:r>
        <w:rPr>
          <w:rFonts w:hint="eastAsia"/>
        </w:rPr>
        <w:t>其他一些电动车领域的制造商也将签署这项承诺，签署方还包括全球多地政府。他们承诺到</w:t>
      </w:r>
      <w:r>
        <w:t>2040年在全球范围内实现所有新车和货车的零排放，到2035年在主要市场实现零排放。</w:t>
      </w:r>
    </w:p>
    <w:p w14:paraId="37C33263" w14:textId="77777777" w:rsidR="00A51EC4" w:rsidRPr="00633269" w:rsidRDefault="00A51EC4" w:rsidP="00EA49ED">
      <w:pPr>
        <w:pStyle w:val="a8"/>
        <w:numPr>
          <w:ilvl w:val="0"/>
          <w:numId w:val="21"/>
        </w:numPr>
        <w:ind w:firstLineChars="0"/>
        <w:outlineLvl w:val="1"/>
        <w:rPr>
          <w:b/>
        </w:rPr>
      </w:pPr>
      <w:r w:rsidRPr="00633269">
        <w:rPr>
          <w:rFonts w:hint="eastAsia"/>
          <w:b/>
        </w:rPr>
        <w:t>路透：到</w:t>
      </w:r>
      <w:r w:rsidRPr="00633269">
        <w:rPr>
          <w:b/>
        </w:rPr>
        <w:t>2030年，全球车企计划在电动汽车和电池上投入近5150亿美元</w:t>
      </w:r>
    </w:p>
    <w:p w14:paraId="43E4940D" w14:textId="639F60C6" w:rsidR="00A51EC4" w:rsidRPr="00A85374" w:rsidRDefault="00A51EC4" w:rsidP="00A85374">
      <w:r w:rsidRPr="00072BCB">
        <w:rPr>
          <w:rFonts w:hint="eastAsia"/>
        </w:rPr>
        <w:t>全球汽车制造商正计划到</w:t>
      </w:r>
      <w:r w:rsidRPr="00072BCB">
        <w:t>2030年在电动汽车和电池上花费超5000亿美元，加大投资力度，以使汽车买家远离化石燃料，并实现日益严峻的去碳化目标。不到三年前，路透社的一项类似分析发现，汽车公司计划在电动汽车和相关技术上花费3000亿美元，但全球各地迫在眉睫的零碳任务使该行业与电动汽车相关的投资承诺变得愈发紧迫。最新分析显示，汽车制造商计划在未来5到10年内花费约5150亿美元开发和制造新的电池动力汽车，并摆脱内燃机影响。但该行业高管和预测者仍然担心，如果没有大量额外激励措施和规模更大的充电基础设施与</w:t>
      </w:r>
      <w:r w:rsidRPr="00072BCB">
        <w:rPr>
          <w:rFonts w:hint="eastAsia"/>
        </w:rPr>
        <w:t>电网支出，消费者对电动汽车的需求可能远远达不到目标。</w:t>
      </w:r>
    </w:p>
    <w:p w14:paraId="33107CDB" w14:textId="77777777" w:rsidR="00A51EC4" w:rsidRPr="005746E3" w:rsidRDefault="00A51EC4" w:rsidP="00EA49ED">
      <w:pPr>
        <w:pStyle w:val="a8"/>
        <w:numPr>
          <w:ilvl w:val="0"/>
          <w:numId w:val="21"/>
        </w:numPr>
        <w:ind w:firstLineChars="0"/>
        <w:outlineLvl w:val="1"/>
        <w:rPr>
          <w:b/>
        </w:rPr>
      </w:pPr>
      <w:r w:rsidRPr="005746E3">
        <w:rPr>
          <w:rFonts w:hint="eastAsia"/>
          <w:b/>
        </w:rPr>
        <w:t>墨西哥</w:t>
      </w:r>
      <w:r w:rsidRPr="005746E3">
        <w:rPr>
          <w:b/>
        </w:rPr>
        <w:t>10月汽车产量跌至9年来最低水平</w:t>
      </w:r>
    </w:p>
    <w:p w14:paraId="09A994B2" w14:textId="28854832" w:rsidR="00A51EC4" w:rsidRPr="00A85374" w:rsidRDefault="00A51EC4" w:rsidP="00EA49ED">
      <w:r>
        <w:rPr>
          <w:rFonts w:hint="eastAsia"/>
        </w:rPr>
        <w:t>墨西哥国家统计机构</w:t>
      </w:r>
      <w:r>
        <w:t>INEGI发布的数据显示，今年10月份该国汽车产量相比去年同期下降了25.9%，跌至了2012年以来的最低10月产量水平。数据显示，上个月墨西哥的汽车产量下降到了257,813辆，而去年同期为347,906辆；同期该国汽车出口量也下降19.9%，至224,535辆。</w:t>
      </w:r>
    </w:p>
    <w:p w14:paraId="49BA2916" w14:textId="77777777" w:rsidR="00A51EC4" w:rsidRPr="006E0122" w:rsidRDefault="00A51EC4" w:rsidP="00EA49ED">
      <w:pPr>
        <w:pStyle w:val="a8"/>
        <w:numPr>
          <w:ilvl w:val="0"/>
          <w:numId w:val="21"/>
        </w:numPr>
        <w:ind w:firstLineChars="0"/>
        <w:outlineLvl w:val="1"/>
        <w:rPr>
          <w:b/>
        </w:rPr>
      </w:pPr>
      <w:r w:rsidRPr="006E0122">
        <w:rPr>
          <w:rFonts w:hint="eastAsia"/>
          <w:b/>
        </w:rPr>
        <w:t>起亚计划到</w:t>
      </w:r>
      <w:r w:rsidRPr="006E0122">
        <w:rPr>
          <w:b/>
        </w:rPr>
        <w:t>2035年在欧洲实现全面电气化</w:t>
      </w:r>
    </w:p>
    <w:p w14:paraId="05C70238" w14:textId="77777777" w:rsidR="00A51EC4" w:rsidRDefault="00A51EC4" w:rsidP="00EA49ED">
      <w:r>
        <w:rPr>
          <w:rFonts w:hint="eastAsia"/>
        </w:rPr>
        <w:t>起亚汽车计划到</w:t>
      </w:r>
      <w:r>
        <w:t>2035年在欧洲实现产品线全面电气化，到2040年在全球主要市场实现电气化。</w:t>
      </w:r>
    </w:p>
    <w:p w14:paraId="0664BDB1" w14:textId="6E7B96FD" w:rsidR="00A51EC4" w:rsidRDefault="00A51EC4" w:rsidP="00EA49ED">
      <w:r>
        <w:rPr>
          <w:rFonts w:hint="eastAsia"/>
        </w:rPr>
        <w:t>起亚汽车去年</w:t>
      </w:r>
      <w:r>
        <w:t>1月曾发布中长期战略目标“S计划”，提出加速转型升级，逐步建立在未来汽车行业的领导地位，包括在电气化、移动出行服务、智能网联和自动驾驶等领域。</w:t>
      </w:r>
    </w:p>
    <w:p w14:paraId="61CDD271" w14:textId="77777777" w:rsidR="00A51EC4" w:rsidRPr="005746E3" w:rsidRDefault="00A51EC4" w:rsidP="00EA49ED">
      <w:pPr>
        <w:pStyle w:val="a8"/>
        <w:numPr>
          <w:ilvl w:val="0"/>
          <w:numId w:val="21"/>
        </w:numPr>
        <w:ind w:firstLineChars="0"/>
        <w:outlineLvl w:val="1"/>
        <w:rPr>
          <w:b/>
        </w:rPr>
      </w:pPr>
      <w:r w:rsidRPr="005746E3">
        <w:rPr>
          <w:rFonts w:hint="eastAsia"/>
          <w:b/>
        </w:rPr>
        <w:t>缺芯导致俄罗斯</w:t>
      </w:r>
      <w:r w:rsidRPr="005746E3">
        <w:rPr>
          <w:b/>
        </w:rPr>
        <w:t>10月新车销量下滑18%</w:t>
      </w:r>
    </w:p>
    <w:p w14:paraId="300F1A29" w14:textId="77777777" w:rsidR="00A51EC4" w:rsidRDefault="00A51EC4" w:rsidP="00EA49ED">
      <w:r>
        <w:rPr>
          <w:rFonts w:hint="eastAsia"/>
        </w:rPr>
        <w:t>受全球半导体供应短缺的影响，</w:t>
      </w:r>
      <w:r>
        <w:t>10月份俄罗斯新车销量同比下降了18%。11月8日，总部设在莫斯科的欧洲企业协会（AEB）在一份声明中表示，10月俄罗斯新车销量为126,204辆，连续4个月出现下滑。截至10月，俄罗斯的累计销量增长了11%，至131万辆。</w:t>
      </w:r>
    </w:p>
    <w:p w14:paraId="4E6B59F4" w14:textId="77777777" w:rsidR="00A51EC4" w:rsidRDefault="00A51EC4" w:rsidP="00EA49ED">
      <w:r>
        <w:t>AEB表示，他们不认为导致车企暂停生产或降低产量的芯片紧缩会提前结束。</w:t>
      </w:r>
    </w:p>
    <w:p w14:paraId="0F111DBA" w14:textId="7C2F3A2C" w:rsidR="00A51EC4" w:rsidRDefault="00A51EC4" w:rsidP="00EA49ED">
      <w:r>
        <w:rPr>
          <w:rFonts w:hint="eastAsia"/>
        </w:rPr>
        <w:t>俄罗斯经济部在</w:t>
      </w:r>
      <w:r>
        <w:t>8月表示，计划为购买国产电动汽车的消费者提供补贴，从而刺激需求和生产。俄罗斯希望到2030年时，使其电动汽车年产量提升到22万辆。</w:t>
      </w:r>
    </w:p>
    <w:p w14:paraId="1EAE11A2" w14:textId="77777777" w:rsidR="00A51EC4" w:rsidRPr="00B45605" w:rsidRDefault="00A51EC4" w:rsidP="00EA49ED">
      <w:pPr>
        <w:pStyle w:val="a8"/>
        <w:numPr>
          <w:ilvl w:val="0"/>
          <w:numId w:val="21"/>
        </w:numPr>
        <w:ind w:firstLineChars="0"/>
        <w:outlineLvl w:val="1"/>
        <w:rPr>
          <w:b/>
        </w:rPr>
      </w:pPr>
      <w:r w:rsidRPr="00B45605">
        <w:rPr>
          <w:rFonts w:hint="eastAsia"/>
          <w:b/>
        </w:rPr>
        <w:t>特斯拉将在加拿大开设电池设备工厂</w:t>
      </w:r>
      <w:r w:rsidRPr="00B45605">
        <w:rPr>
          <w:b/>
        </w:rPr>
        <w:t>加快生产4680电池</w:t>
      </w:r>
    </w:p>
    <w:p w14:paraId="3FF5EF7E" w14:textId="697B44A1" w:rsidR="00A51EC4" w:rsidRPr="00A85374" w:rsidRDefault="00A51EC4" w:rsidP="00A85374">
      <w:r w:rsidRPr="00835833">
        <w:t>11月5日，加拿大表示，特斯拉在该市开设了一家生产电池设备制造工厂，用以生产制造4680电池的设备。</w:t>
      </w:r>
    </w:p>
    <w:p w14:paraId="58F19BA6" w14:textId="77777777" w:rsidR="00A51EC4" w:rsidRPr="008E2888" w:rsidRDefault="00A51EC4" w:rsidP="00EA49ED">
      <w:pPr>
        <w:pStyle w:val="a8"/>
        <w:numPr>
          <w:ilvl w:val="0"/>
          <w:numId w:val="21"/>
        </w:numPr>
        <w:ind w:firstLineChars="0"/>
        <w:outlineLvl w:val="1"/>
        <w:rPr>
          <w:b/>
        </w:rPr>
      </w:pPr>
      <w:r w:rsidRPr="008E2888">
        <w:rPr>
          <w:rFonts w:hint="eastAsia"/>
          <w:b/>
        </w:rPr>
        <w:t>特斯拉能源提交的卖电申请正式获批：可在得克萨斯州卖电</w:t>
      </w:r>
    </w:p>
    <w:p w14:paraId="6DC6681E" w14:textId="6BBDA6D9" w:rsidR="00A51EC4" w:rsidRPr="00A85374" w:rsidRDefault="00A51EC4" w:rsidP="00A85374">
      <w:r w:rsidRPr="00F25C44">
        <w:t>马斯克的“特斯拉能源风险投资公司”（TeslaEnergyVentures）提交的卖电申请正式获批，可以向美国得克萨斯州的零售客户销售电力。</w:t>
      </w:r>
    </w:p>
    <w:p w14:paraId="6F952FF2" w14:textId="77777777" w:rsidR="00A51EC4" w:rsidRDefault="00A51EC4" w:rsidP="00EA49ED">
      <w:pPr>
        <w:pStyle w:val="a8"/>
        <w:numPr>
          <w:ilvl w:val="0"/>
          <w:numId w:val="21"/>
        </w:numPr>
        <w:ind w:firstLineChars="0"/>
        <w:outlineLvl w:val="1"/>
      </w:pPr>
      <w:r w:rsidRPr="008E2888">
        <w:rPr>
          <w:rFonts w:hint="eastAsia"/>
          <w:b/>
        </w:rPr>
        <w:t>特斯拉全球开放的超充桩达</w:t>
      </w:r>
      <w:r w:rsidRPr="008E2888">
        <w:rPr>
          <w:b/>
        </w:rPr>
        <w:t>3万个</w:t>
      </w:r>
    </w:p>
    <w:p w14:paraId="495D4A3A" w14:textId="77777777" w:rsidR="00A51EC4" w:rsidRDefault="00A51EC4" w:rsidP="00EA49ED">
      <w:r>
        <w:t>11月11日，特斯拉宣布，公司在全球建设并开放的超充桩数量达30000个。</w:t>
      </w:r>
    </w:p>
    <w:p w14:paraId="5784D41B" w14:textId="515419D4" w:rsidR="00A51EC4" w:rsidRPr="00A85374" w:rsidRDefault="00A51EC4" w:rsidP="00A85374">
      <w:r>
        <w:rPr>
          <w:rFonts w:hint="eastAsia"/>
        </w:rPr>
        <w:t>其中，在中国大陆，特斯拉已建设开放超</w:t>
      </w:r>
      <w:r>
        <w:t>7600个超充桩，配合超1750个目的地充电桩，覆盖超360个城市。</w:t>
      </w:r>
    </w:p>
    <w:sectPr w:rsidR="00A51EC4" w:rsidRPr="00A85374" w:rsidSect="00F725A1">
      <w:headerReference w:type="default" r:id="rId17"/>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E5D55" w14:textId="77777777" w:rsidR="0021203F" w:rsidRDefault="0021203F" w:rsidP="00EA49ED">
      <w:r>
        <w:separator/>
      </w:r>
    </w:p>
  </w:endnote>
  <w:endnote w:type="continuationSeparator" w:id="0">
    <w:p w14:paraId="2B1C4B41" w14:textId="77777777" w:rsidR="0021203F" w:rsidRDefault="0021203F" w:rsidP="00EA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E068" w14:textId="77777777" w:rsidR="0021203F" w:rsidRDefault="0021203F" w:rsidP="00EA49ED">
      <w:r>
        <w:separator/>
      </w:r>
    </w:p>
  </w:footnote>
  <w:footnote w:type="continuationSeparator" w:id="0">
    <w:p w14:paraId="515D0832" w14:textId="77777777" w:rsidR="0021203F" w:rsidRDefault="0021203F" w:rsidP="00EA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B219" w14:textId="360BDB99" w:rsidR="00F725A1" w:rsidRDefault="00F725A1" w:rsidP="00F725A1">
    <w:pPr>
      <w:pStyle w:val="a3"/>
      <w:jc w:val="left"/>
    </w:pPr>
    <w:r>
      <w:rPr>
        <w:noProof/>
      </w:rPr>
      <w:drawing>
        <wp:inline distT="0" distB="0" distL="0" distR="0" wp14:anchorId="7FF43C58" wp14:editId="57BBEBE9">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247F20"/>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F7D"/>
    <w:rsid w:val="0000272B"/>
    <w:rsid w:val="00010A08"/>
    <w:rsid w:val="000D6F68"/>
    <w:rsid w:val="001546BB"/>
    <w:rsid w:val="001E2A94"/>
    <w:rsid w:val="0021203F"/>
    <w:rsid w:val="00225655"/>
    <w:rsid w:val="00243A16"/>
    <w:rsid w:val="00265518"/>
    <w:rsid w:val="00332C6C"/>
    <w:rsid w:val="003C172C"/>
    <w:rsid w:val="00403779"/>
    <w:rsid w:val="00481CF5"/>
    <w:rsid w:val="00494DB7"/>
    <w:rsid w:val="005125A4"/>
    <w:rsid w:val="00561DCA"/>
    <w:rsid w:val="00565359"/>
    <w:rsid w:val="00571D21"/>
    <w:rsid w:val="0058088C"/>
    <w:rsid w:val="005976B4"/>
    <w:rsid w:val="005B6E47"/>
    <w:rsid w:val="00612A6C"/>
    <w:rsid w:val="00643B4E"/>
    <w:rsid w:val="0070794B"/>
    <w:rsid w:val="00715C6B"/>
    <w:rsid w:val="00761D31"/>
    <w:rsid w:val="00790A6A"/>
    <w:rsid w:val="007B1D96"/>
    <w:rsid w:val="007C206F"/>
    <w:rsid w:val="007D3F9A"/>
    <w:rsid w:val="00886733"/>
    <w:rsid w:val="00893C61"/>
    <w:rsid w:val="00946C81"/>
    <w:rsid w:val="0095428D"/>
    <w:rsid w:val="009E7D84"/>
    <w:rsid w:val="00A46F09"/>
    <w:rsid w:val="00A51EC4"/>
    <w:rsid w:val="00A82749"/>
    <w:rsid w:val="00A85374"/>
    <w:rsid w:val="00AC2B3A"/>
    <w:rsid w:val="00B269E2"/>
    <w:rsid w:val="00B86C7C"/>
    <w:rsid w:val="00BA23C7"/>
    <w:rsid w:val="00BF0329"/>
    <w:rsid w:val="00C10CC5"/>
    <w:rsid w:val="00CA029F"/>
    <w:rsid w:val="00CC5AFC"/>
    <w:rsid w:val="00CF2EC4"/>
    <w:rsid w:val="00D70917"/>
    <w:rsid w:val="00DB0D15"/>
    <w:rsid w:val="00DF6158"/>
    <w:rsid w:val="00EA138B"/>
    <w:rsid w:val="00EA49ED"/>
    <w:rsid w:val="00EA5F7D"/>
    <w:rsid w:val="00EA653D"/>
    <w:rsid w:val="00F56666"/>
    <w:rsid w:val="00F725A1"/>
    <w:rsid w:val="00F87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274ED"/>
  <w15:chartTrackingRefBased/>
  <w15:docId w15:val="{F67ECC4F-0F7E-4B1B-8973-F6CD1DF3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9ED"/>
    <w:pPr>
      <w:widowControl w:val="0"/>
      <w:jc w:val="both"/>
    </w:pPr>
    <w:rPr>
      <w:szCs w:val="24"/>
    </w:rPr>
  </w:style>
  <w:style w:type="paragraph" w:styleId="2">
    <w:name w:val="heading 2"/>
    <w:basedOn w:val="a"/>
    <w:next w:val="a"/>
    <w:link w:val="20"/>
    <w:semiHidden/>
    <w:unhideWhenUsed/>
    <w:qFormat/>
    <w:rsid w:val="00EA49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A49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A49ED"/>
    <w:rPr>
      <w:sz w:val="18"/>
      <w:szCs w:val="18"/>
    </w:rPr>
  </w:style>
  <w:style w:type="paragraph" w:styleId="a5">
    <w:name w:val="footer"/>
    <w:basedOn w:val="a"/>
    <w:link w:val="a6"/>
    <w:unhideWhenUsed/>
    <w:rsid w:val="00EA49ED"/>
    <w:pPr>
      <w:tabs>
        <w:tab w:val="center" w:pos="4153"/>
        <w:tab w:val="right" w:pos="8306"/>
      </w:tabs>
      <w:snapToGrid w:val="0"/>
      <w:jc w:val="left"/>
    </w:pPr>
    <w:rPr>
      <w:sz w:val="18"/>
      <w:szCs w:val="18"/>
    </w:rPr>
  </w:style>
  <w:style w:type="character" w:customStyle="1" w:styleId="a6">
    <w:name w:val="页脚 字符"/>
    <w:basedOn w:val="a0"/>
    <w:link w:val="a5"/>
    <w:rsid w:val="00EA49ED"/>
    <w:rPr>
      <w:sz w:val="18"/>
      <w:szCs w:val="18"/>
    </w:rPr>
  </w:style>
  <w:style w:type="character" w:customStyle="1" w:styleId="20">
    <w:name w:val="标题 2 字符"/>
    <w:basedOn w:val="a0"/>
    <w:link w:val="2"/>
    <w:semiHidden/>
    <w:rsid w:val="00EA49ED"/>
    <w:rPr>
      <w:rFonts w:asciiTheme="majorHAnsi" w:eastAsiaTheme="majorEastAsia" w:hAnsiTheme="majorHAnsi" w:cstheme="majorBidi"/>
      <w:b/>
      <w:bCs/>
      <w:sz w:val="32"/>
      <w:szCs w:val="32"/>
    </w:rPr>
  </w:style>
  <w:style w:type="character" w:styleId="a7">
    <w:name w:val="Strong"/>
    <w:basedOn w:val="a0"/>
    <w:qFormat/>
    <w:rsid w:val="00EA49ED"/>
    <w:rPr>
      <w:b/>
    </w:rPr>
  </w:style>
  <w:style w:type="paragraph" w:customStyle="1" w:styleId="1">
    <w:name w:val="列出段落1"/>
    <w:basedOn w:val="a"/>
    <w:uiPriority w:val="99"/>
    <w:qFormat/>
    <w:rsid w:val="00EA49ED"/>
    <w:pPr>
      <w:ind w:firstLineChars="200" w:firstLine="420"/>
    </w:pPr>
  </w:style>
  <w:style w:type="paragraph" w:styleId="a8">
    <w:name w:val="List Paragraph"/>
    <w:basedOn w:val="a"/>
    <w:uiPriority w:val="34"/>
    <w:qFormat/>
    <w:rsid w:val="00EA49ED"/>
    <w:pPr>
      <w:ind w:firstLineChars="200" w:firstLine="420"/>
    </w:pPr>
  </w:style>
  <w:style w:type="paragraph" w:styleId="a9">
    <w:name w:val="Balloon Text"/>
    <w:basedOn w:val="a"/>
    <w:link w:val="aa"/>
    <w:rsid w:val="00EA49ED"/>
    <w:rPr>
      <w:sz w:val="18"/>
      <w:szCs w:val="18"/>
    </w:rPr>
  </w:style>
  <w:style w:type="character" w:customStyle="1" w:styleId="aa">
    <w:name w:val="批注框文本 字符"/>
    <w:basedOn w:val="a0"/>
    <w:link w:val="a9"/>
    <w:rsid w:val="00EA49ED"/>
    <w:rPr>
      <w:sz w:val="18"/>
      <w:szCs w:val="18"/>
    </w:rPr>
  </w:style>
  <w:style w:type="character" w:customStyle="1" w:styleId="apple-converted-space">
    <w:name w:val="apple-converted-space"/>
    <w:basedOn w:val="a0"/>
    <w:rsid w:val="00EA49ED"/>
  </w:style>
  <w:style w:type="character" w:styleId="ab">
    <w:name w:val="annotation reference"/>
    <w:basedOn w:val="a0"/>
    <w:uiPriority w:val="99"/>
    <w:semiHidden/>
    <w:unhideWhenUsed/>
    <w:rsid w:val="00EA49ED"/>
    <w:rPr>
      <w:sz w:val="21"/>
      <w:szCs w:val="21"/>
    </w:rPr>
  </w:style>
  <w:style w:type="paragraph" w:styleId="ac">
    <w:name w:val="annotation text"/>
    <w:basedOn w:val="a"/>
    <w:link w:val="ad"/>
    <w:uiPriority w:val="99"/>
    <w:semiHidden/>
    <w:unhideWhenUsed/>
    <w:rsid w:val="00EA49ED"/>
    <w:pPr>
      <w:jc w:val="left"/>
    </w:pPr>
  </w:style>
  <w:style w:type="character" w:customStyle="1" w:styleId="ad">
    <w:name w:val="批注文字 字符"/>
    <w:basedOn w:val="a0"/>
    <w:link w:val="ac"/>
    <w:uiPriority w:val="99"/>
    <w:semiHidden/>
    <w:rsid w:val="00EA49ED"/>
    <w:rPr>
      <w:szCs w:val="24"/>
    </w:rPr>
  </w:style>
  <w:style w:type="paragraph" w:styleId="ae">
    <w:name w:val="annotation subject"/>
    <w:basedOn w:val="ac"/>
    <w:next w:val="ac"/>
    <w:link w:val="af"/>
    <w:uiPriority w:val="99"/>
    <w:semiHidden/>
    <w:unhideWhenUsed/>
    <w:rsid w:val="00EA49ED"/>
    <w:rPr>
      <w:b/>
      <w:bCs/>
    </w:rPr>
  </w:style>
  <w:style w:type="character" w:customStyle="1" w:styleId="af">
    <w:name w:val="批注主题 字符"/>
    <w:basedOn w:val="ad"/>
    <w:link w:val="ae"/>
    <w:uiPriority w:val="99"/>
    <w:semiHidden/>
    <w:rsid w:val="00EA49ED"/>
    <w:rPr>
      <w:b/>
      <w:bCs/>
      <w:szCs w:val="24"/>
    </w:rPr>
  </w:style>
  <w:style w:type="character" w:styleId="af0">
    <w:name w:val="Hyperlink"/>
    <w:basedOn w:val="a0"/>
    <w:uiPriority w:val="99"/>
    <w:unhideWhenUsed/>
    <w:rsid w:val="00EA49ED"/>
    <w:rPr>
      <w:color w:val="0563C1" w:themeColor="hyperlink"/>
      <w:u w:val="single"/>
    </w:rPr>
  </w:style>
  <w:style w:type="character" w:styleId="af1">
    <w:name w:val="Unresolved Mention"/>
    <w:basedOn w:val="a0"/>
    <w:uiPriority w:val="99"/>
    <w:semiHidden/>
    <w:unhideWhenUsed/>
    <w:rsid w:val="00F72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13</Pages>
  <Words>2186</Words>
  <Characters>12463</Characters>
  <Application>Microsoft Office Word</Application>
  <DocSecurity>0</DocSecurity>
  <Lines>103</Lines>
  <Paragraphs>29</Paragraphs>
  <ScaleCrop>false</ScaleCrop>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2021-11-17T06:28:00Z</dcterms:created>
  <dcterms:modified xsi:type="dcterms:W3CDTF">2021-11-17T07:57:00Z</dcterms:modified>
</cp:coreProperties>
</file>