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1366F" w14:textId="763992EA" w:rsidR="0048057D" w:rsidRDefault="0048057D" w:rsidP="0048057D">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47</w:t>
      </w:r>
      <w:r w:rsidRPr="002009FE">
        <w:rPr>
          <w:rFonts w:ascii="黑体" w:eastAsia="黑体" w:cs="黑体" w:hint="eastAsia"/>
          <w:sz w:val="24"/>
        </w:rPr>
        <w:t>期（</w:t>
      </w:r>
      <w:r>
        <w:rPr>
          <w:rFonts w:ascii="黑体" w:eastAsia="黑体" w:cs="黑体"/>
          <w:sz w:val="24"/>
        </w:rPr>
        <w:t>11</w:t>
      </w:r>
      <w:r w:rsidRPr="002009FE">
        <w:rPr>
          <w:rFonts w:ascii="黑体" w:eastAsia="黑体" w:cs="黑体" w:hint="eastAsia"/>
          <w:sz w:val="24"/>
        </w:rPr>
        <w:t>月</w:t>
      </w:r>
      <w:r>
        <w:rPr>
          <w:rFonts w:ascii="黑体" w:eastAsia="黑体" w:cs="黑体"/>
          <w:sz w:val="24"/>
        </w:rPr>
        <w:t>22</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11</w:t>
      </w:r>
      <w:r w:rsidRPr="002009FE">
        <w:rPr>
          <w:rFonts w:ascii="黑体" w:eastAsia="黑体" w:cs="黑体" w:hint="eastAsia"/>
          <w:sz w:val="24"/>
        </w:rPr>
        <w:t>月</w:t>
      </w:r>
      <w:r w:rsidR="00981838">
        <w:rPr>
          <w:rFonts w:ascii="黑体" w:eastAsia="黑体" w:cs="黑体"/>
          <w:sz w:val="24"/>
        </w:rPr>
        <w:t>30</w:t>
      </w:r>
      <w:r w:rsidRPr="002009FE">
        <w:rPr>
          <w:rFonts w:ascii="黑体" w:eastAsia="黑体" w:cs="黑体" w:hint="eastAsia"/>
          <w:sz w:val="24"/>
        </w:rPr>
        <w:t>日）</w:t>
      </w:r>
      <w:bookmarkEnd w:id="0"/>
    </w:p>
    <w:p w14:paraId="4E06D0B7" w14:textId="77777777" w:rsidR="00981838" w:rsidRPr="002009FE" w:rsidRDefault="00981838" w:rsidP="0048057D">
      <w:pPr>
        <w:jc w:val="center"/>
        <w:outlineLvl w:val="0"/>
        <w:rPr>
          <w:rFonts w:ascii="黑体" w:eastAsia="黑体" w:cs="Times New Roman"/>
          <w:sz w:val="24"/>
        </w:rPr>
      </w:pPr>
    </w:p>
    <w:p w14:paraId="1AD1F9DF" w14:textId="77777777" w:rsidR="0048057D" w:rsidRPr="00A43D0D" w:rsidRDefault="0048057D" w:rsidP="0048057D">
      <w:pPr>
        <w:rPr>
          <w:rFonts w:ascii="黑体" w:eastAsia="黑体" w:cs="黑体"/>
        </w:rPr>
      </w:pPr>
      <w:r w:rsidRPr="00A43D0D">
        <w:rPr>
          <w:rFonts w:ascii="黑体" w:eastAsia="黑体" w:cs="黑体" w:hint="eastAsia"/>
        </w:rPr>
        <w:t>主要信息源自乘联会每日新闻等</w:t>
      </w:r>
    </w:p>
    <w:p w14:paraId="046BA6AD" w14:textId="77777777" w:rsidR="0048057D" w:rsidRPr="00A43D0D" w:rsidRDefault="0048057D" w:rsidP="0048057D">
      <w:pPr>
        <w:rPr>
          <w:rFonts w:ascii="黑体" w:eastAsia="黑体" w:cs="黑体"/>
        </w:rPr>
      </w:pPr>
      <w:r w:rsidRPr="00A43D0D">
        <w:rPr>
          <w:rFonts w:ascii="黑体" w:eastAsia="黑体" w:cs="黑体" w:hint="eastAsia"/>
        </w:rPr>
        <w:t>中国汽车流通协会汽车市场研究分会</w:t>
      </w:r>
    </w:p>
    <w:p w14:paraId="30E5E9FB" w14:textId="77777777" w:rsidR="0048057D" w:rsidRPr="00A43D0D" w:rsidRDefault="0048057D" w:rsidP="0048057D">
      <w:pPr>
        <w:rPr>
          <w:rFonts w:ascii="黑体" w:eastAsia="黑体" w:cs="黑体"/>
        </w:rPr>
      </w:pPr>
      <w:r w:rsidRPr="00A43D0D">
        <w:rPr>
          <w:rFonts w:ascii="黑体" w:eastAsia="黑体" w:cs="黑体" w:hint="eastAsia"/>
        </w:rPr>
        <w:t>乘用车市场信息联席会（乘联会）</w:t>
      </w:r>
    </w:p>
    <w:p w14:paraId="7F4DFF52" w14:textId="0A879179" w:rsidR="0048057D" w:rsidRDefault="0048057D" w:rsidP="0048057D">
      <w:pPr>
        <w:rPr>
          <w:rFonts w:ascii="黑体" w:eastAsia="黑体" w:cs="黑体"/>
        </w:rPr>
      </w:pPr>
      <w:r w:rsidRPr="00A43D0D">
        <w:rPr>
          <w:rFonts w:ascii="黑体" w:eastAsia="黑体" w:cs="黑体" w:hint="eastAsia"/>
        </w:rPr>
        <w:t>网站：</w:t>
      </w:r>
      <w:hyperlink r:id="rId7" w:history="1">
        <w:r w:rsidR="00981838" w:rsidRPr="00073DFB">
          <w:rPr>
            <w:rStyle w:val="af0"/>
            <w:rFonts w:ascii="黑体" w:eastAsia="黑体" w:cs="黑体"/>
          </w:rPr>
          <w:t>http://www.cpcaauto.com</w:t>
        </w:r>
      </w:hyperlink>
    </w:p>
    <w:p w14:paraId="6DBD1CD2" w14:textId="77777777" w:rsidR="00981838" w:rsidRPr="00981838" w:rsidRDefault="00981838" w:rsidP="0048057D">
      <w:pPr>
        <w:rPr>
          <w:rFonts w:cs="Times New Roman"/>
        </w:rPr>
      </w:pPr>
    </w:p>
    <w:p w14:paraId="6E48F561" w14:textId="77777777" w:rsidR="0048057D" w:rsidRPr="002009FE" w:rsidRDefault="0048057D" w:rsidP="0048057D">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7CDFE164" w14:textId="37A722EC" w:rsidR="008C0B37" w:rsidRPr="002009FE" w:rsidRDefault="00981838" w:rsidP="008C0B37">
      <w:pPr>
        <w:numPr>
          <w:ilvl w:val="0"/>
          <w:numId w:val="2"/>
        </w:numPr>
        <w:outlineLvl w:val="1"/>
        <w:rPr>
          <w:rFonts w:ascii="黑体" w:eastAsia="黑体" w:hAnsi="黑体" w:cs="Times New Roman"/>
          <w:b/>
          <w:bCs/>
          <w:sz w:val="24"/>
        </w:rPr>
      </w:pPr>
      <w:r w:rsidRPr="00981838">
        <w:rPr>
          <w:rFonts w:ascii="黑体" w:eastAsia="黑体" w:hAnsi="黑体" w:cs="Times New Roman"/>
          <w:b/>
          <w:bCs/>
          <w:sz w:val="24"/>
        </w:rPr>
        <w:t>11月乘用车市场周度零售走势</w:t>
      </w:r>
    </w:p>
    <w:p w14:paraId="0DB35850" w14:textId="232695F5" w:rsidR="008C0B37" w:rsidRDefault="008C0B37" w:rsidP="0074201D">
      <w:pPr>
        <w:ind w:firstLineChars="100" w:firstLine="210"/>
        <w:rPr>
          <w:rFonts w:ascii="Calibri" w:eastAsia="宋体" w:hAnsi="Calibri" w:cs="Times New Roman"/>
          <w:szCs w:val="21"/>
        </w:rPr>
      </w:pPr>
      <w:r w:rsidRPr="0063271B">
        <w:rPr>
          <w:rFonts w:ascii="Calibri" w:eastAsia="宋体" w:hAnsi="Calibri" w:cs="Times New Roman"/>
          <w:szCs w:val="21"/>
        </w:rPr>
        <w:t>11</w:t>
      </w:r>
      <w:r w:rsidRPr="0063271B">
        <w:rPr>
          <w:rFonts w:ascii="Calibri" w:eastAsia="宋体" w:hAnsi="Calibri" w:cs="Times New Roman"/>
          <w:szCs w:val="21"/>
        </w:rPr>
        <w:t>月</w:t>
      </w:r>
      <w:r w:rsidRPr="0063271B">
        <w:rPr>
          <w:rFonts w:ascii="Calibri" w:eastAsia="宋体" w:hAnsi="Calibri" w:cs="Times New Roman"/>
          <w:szCs w:val="21"/>
        </w:rPr>
        <w:t>15-21</w:t>
      </w:r>
      <w:r w:rsidRPr="0063271B">
        <w:rPr>
          <w:rFonts w:ascii="Calibri" w:eastAsia="宋体" w:hAnsi="Calibri" w:cs="Times New Roman"/>
          <w:szCs w:val="21"/>
        </w:rPr>
        <w:t>日，乘用车批发</w:t>
      </w:r>
      <w:r w:rsidRPr="0063271B">
        <w:rPr>
          <w:rFonts w:ascii="Calibri" w:eastAsia="宋体" w:hAnsi="Calibri" w:cs="Times New Roman"/>
          <w:szCs w:val="21"/>
        </w:rPr>
        <w:t>44.1</w:t>
      </w:r>
      <w:r w:rsidRPr="0063271B">
        <w:rPr>
          <w:rFonts w:ascii="Calibri" w:eastAsia="宋体" w:hAnsi="Calibri" w:cs="Times New Roman"/>
          <w:szCs w:val="21"/>
        </w:rPr>
        <w:t>万辆，同比增速</w:t>
      </w:r>
      <w:r w:rsidRPr="0063271B">
        <w:rPr>
          <w:rFonts w:ascii="Calibri" w:eastAsia="宋体" w:hAnsi="Calibri" w:cs="Times New Roman"/>
          <w:szCs w:val="21"/>
        </w:rPr>
        <w:t>-10%</w:t>
      </w:r>
      <w:r w:rsidRPr="0063271B">
        <w:rPr>
          <w:rFonts w:ascii="Calibri" w:eastAsia="宋体" w:hAnsi="Calibri" w:cs="Times New Roman"/>
          <w:szCs w:val="21"/>
        </w:rPr>
        <w:t>，环比增长</w:t>
      </w:r>
      <w:r w:rsidRPr="0063271B">
        <w:rPr>
          <w:rFonts w:ascii="Calibri" w:eastAsia="宋体" w:hAnsi="Calibri" w:cs="Times New Roman"/>
          <w:szCs w:val="21"/>
        </w:rPr>
        <w:t>23%</w:t>
      </w:r>
      <w:r w:rsidRPr="0063271B">
        <w:rPr>
          <w:rFonts w:ascii="Calibri" w:eastAsia="宋体" w:hAnsi="Calibri" w:cs="Times New Roman"/>
          <w:szCs w:val="21"/>
        </w:rPr>
        <w:t>，较上月同期增速</w:t>
      </w:r>
      <w:r w:rsidRPr="0063271B">
        <w:rPr>
          <w:rFonts w:ascii="Calibri" w:eastAsia="宋体" w:hAnsi="Calibri" w:cs="Times New Roman"/>
          <w:szCs w:val="21"/>
        </w:rPr>
        <w:t>14%</w:t>
      </w:r>
      <w:r w:rsidRPr="0063271B">
        <w:rPr>
          <w:rFonts w:ascii="Calibri" w:eastAsia="宋体" w:hAnsi="Calibri" w:cs="Times New Roman"/>
          <w:szCs w:val="21"/>
        </w:rPr>
        <w:t>。零售</w:t>
      </w:r>
      <w:r w:rsidRPr="0063271B">
        <w:rPr>
          <w:rFonts w:ascii="Calibri" w:eastAsia="宋体" w:hAnsi="Calibri" w:cs="Times New Roman"/>
          <w:szCs w:val="21"/>
        </w:rPr>
        <w:t>34.5</w:t>
      </w:r>
      <w:r w:rsidRPr="0063271B">
        <w:rPr>
          <w:rFonts w:ascii="Calibri" w:eastAsia="宋体" w:hAnsi="Calibri" w:cs="Times New Roman"/>
          <w:szCs w:val="21"/>
        </w:rPr>
        <w:t>万辆，同比</w:t>
      </w:r>
      <w:r w:rsidR="00981838">
        <w:rPr>
          <w:rFonts w:ascii="Calibri" w:eastAsia="宋体" w:hAnsi="Calibri" w:cs="Times New Roman" w:hint="eastAsia"/>
          <w:szCs w:val="21"/>
        </w:rPr>
        <w:t>增速</w:t>
      </w:r>
      <w:r w:rsidRPr="0063271B">
        <w:rPr>
          <w:rFonts w:ascii="Calibri" w:eastAsia="宋体" w:hAnsi="Calibri" w:cs="Times New Roman"/>
          <w:szCs w:val="21"/>
        </w:rPr>
        <w:t>-12%</w:t>
      </w:r>
      <w:r w:rsidRPr="0063271B">
        <w:rPr>
          <w:rFonts w:ascii="Calibri" w:eastAsia="宋体" w:hAnsi="Calibri" w:cs="Times New Roman"/>
          <w:szCs w:val="21"/>
        </w:rPr>
        <w:t>，环比上周增长</w:t>
      </w:r>
      <w:r w:rsidRPr="0063271B">
        <w:rPr>
          <w:rFonts w:ascii="Calibri" w:eastAsia="宋体" w:hAnsi="Calibri" w:cs="Times New Roman"/>
          <w:szCs w:val="21"/>
        </w:rPr>
        <w:t>6%</w:t>
      </w:r>
      <w:r w:rsidRPr="0063271B">
        <w:rPr>
          <w:rFonts w:ascii="Calibri" w:eastAsia="宋体" w:hAnsi="Calibri" w:cs="Times New Roman"/>
          <w:szCs w:val="21"/>
        </w:rPr>
        <w:t>，较上月同期增速</w:t>
      </w:r>
      <w:r w:rsidRPr="0063271B">
        <w:rPr>
          <w:rFonts w:ascii="Calibri" w:eastAsia="宋体" w:hAnsi="Calibri" w:cs="Times New Roman"/>
          <w:szCs w:val="21"/>
        </w:rPr>
        <w:t>-6%</w:t>
      </w:r>
      <w:r w:rsidRPr="0063271B">
        <w:rPr>
          <w:rFonts w:ascii="Calibri" w:eastAsia="宋体" w:hAnsi="Calibri" w:cs="Times New Roman"/>
          <w:szCs w:val="21"/>
        </w:rPr>
        <w:t>。</w:t>
      </w:r>
    </w:p>
    <w:p w14:paraId="75BF73C2" w14:textId="299001B0" w:rsidR="00D216B5" w:rsidRDefault="00D216B5" w:rsidP="00D216B5">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0C1F4D21" wp14:editId="49AF983A">
            <wp:extent cx="4320000" cy="3160164"/>
            <wp:effectExtent l="0" t="0" r="444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extLst>
                        <a:ext uri="{28A0092B-C50C-407E-A947-70E740481C1C}">
                          <a14:useLocalDpi xmlns:a14="http://schemas.microsoft.com/office/drawing/2010/main" val="0"/>
                        </a:ext>
                      </a:extLst>
                    </a:blip>
                    <a:stretch>
                      <a:fillRect/>
                    </a:stretch>
                  </pic:blipFill>
                  <pic:spPr>
                    <a:xfrm>
                      <a:off x="0" y="0"/>
                      <a:ext cx="4320000" cy="3160164"/>
                    </a:xfrm>
                    <a:prstGeom prst="rect">
                      <a:avLst/>
                    </a:prstGeom>
                  </pic:spPr>
                </pic:pic>
              </a:graphicData>
            </a:graphic>
          </wp:inline>
        </w:drawing>
      </w:r>
    </w:p>
    <w:p w14:paraId="149D7AC2" w14:textId="0DE21118" w:rsidR="0074201D" w:rsidRPr="0074201D" w:rsidRDefault="0074201D" w:rsidP="00D216B5">
      <w:pPr>
        <w:jc w:val="center"/>
        <w:rPr>
          <w:rFonts w:ascii="Calibri" w:eastAsia="宋体" w:hAnsi="Calibri" w:cs="Times New Roman"/>
          <w:b/>
          <w:bCs/>
          <w:color w:val="FF0000"/>
          <w:szCs w:val="21"/>
        </w:rPr>
      </w:pPr>
      <w:r w:rsidRPr="0074201D">
        <w:rPr>
          <w:rFonts w:ascii="Calibri" w:eastAsia="宋体" w:hAnsi="Calibri" w:cs="Times New Roman" w:hint="eastAsia"/>
          <w:b/>
          <w:bCs/>
          <w:color w:val="FF0000"/>
          <w:szCs w:val="21"/>
        </w:rPr>
        <w:t>（月末数据未齐，内容同上周）</w:t>
      </w:r>
    </w:p>
    <w:p w14:paraId="1CF75A89" w14:textId="77777777" w:rsidR="0074201D" w:rsidRDefault="008C0B37" w:rsidP="0074201D">
      <w:pPr>
        <w:ind w:firstLineChars="200" w:firstLine="420"/>
        <w:rPr>
          <w:rFonts w:ascii="Calibri" w:eastAsia="宋体" w:hAnsi="Calibri" w:cs="Times New Roman"/>
          <w:szCs w:val="21"/>
        </w:rPr>
      </w:pPr>
      <w:r>
        <w:rPr>
          <w:rFonts w:ascii="Calibri" w:eastAsia="宋体" w:hAnsi="Calibri" w:cs="Times New Roman"/>
          <w:szCs w:val="21"/>
        </w:rPr>
        <w:t>11</w:t>
      </w:r>
      <w:r w:rsidRPr="002A7C74">
        <w:rPr>
          <w:rFonts w:ascii="Calibri" w:eastAsia="宋体" w:hAnsi="Calibri" w:cs="Times New Roman"/>
          <w:szCs w:val="21"/>
        </w:rPr>
        <w:t>月第</w:t>
      </w:r>
      <w:r w:rsidR="0074201D">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3.9</w:t>
      </w:r>
      <w:r w:rsidR="0074201D">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10</w:t>
      </w:r>
      <w:r>
        <w:rPr>
          <w:rFonts w:ascii="Calibri" w:eastAsia="宋体" w:hAnsi="Calibri" w:cs="Times New Roman" w:hint="eastAsia"/>
          <w:szCs w:val="21"/>
        </w:rPr>
        <w:t>月的第</w:t>
      </w:r>
      <w:r w:rsidR="0074201D">
        <w:rPr>
          <w:rFonts w:ascii="Calibri" w:eastAsia="宋体" w:hAnsi="Calibri" w:cs="Times New Roman" w:hint="eastAsia"/>
          <w:szCs w:val="21"/>
        </w:rPr>
        <w:t>一</w:t>
      </w:r>
      <w:r>
        <w:rPr>
          <w:rFonts w:ascii="Calibri" w:eastAsia="宋体" w:hAnsi="Calibri" w:cs="Times New Roman" w:hint="eastAsia"/>
          <w:szCs w:val="21"/>
        </w:rPr>
        <w:t>周降</w:t>
      </w:r>
      <w:r>
        <w:rPr>
          <w:rFonts w:ascii="Calibri" w:eastAsia="宋体" w:hAnsi="Calibri" w:cs="Times New Roman" w:hint="eastAsia"/>
          <w:szCs w:val="21"/>
        </w:rPr>
        <w:t>6%</w:t>
      </w:r>
      <w:r>
        <w:rPr>
          <w:rFonts w:ascii="Calibri" w:eastAsia="宋体" w:hAnsi="Calibri" w:cs="Times New Roman" w:hint="eastAsia"/>
          <w:szCs w:val="21"/>
        </w:rPr>
        <w:t>。</w:t>
      </w:r>
    </w:p>
    <w:p w14:paraId="2CA459AF" w14:textId="77777777" w:rsidR="0074201D" w:rsidRDefault="008C0B37" w:rsidP="0074201D">
      <w:pPr>
        <w:ind w:firstLineChars="200" w:firstLine="420"/>
        <w:rPr>
          <w:rFonts w:ascii="Calibri" w:eastAsia="宋体" w:hAnsi="Calibri" w:cs="Times New Roman"/>
          <w:szCs w:val="21"/>
        </w:rPr>
      </w:pPr>
      <w:r>
        <w:rPr>
          <w:rFonts w:ascii="Calibri" w:eastAsia="宋体" w:hAnsi="Calibri" w:cs="Times New Roman"/>
          <w:szCs w:val="21"/>
        </w:rPr>
        <w:t>11</w:t>
      </w:r>
      <w:r w:rsidRPr="002A7C74">
        <w:rPr>
          <w:rFonts w:ascii="Calibri" w:eastAsia="宋体" w:hAnsi="Calibri" w:cs="Times New Roman"/>
          <w:szCs w:val="21"/>
        </w:rPr>
        <w:t>月第</w:t>
      </w:r>
      <w:r w:rsidR="0074201D">
        <w:rPr>
          <w:rFonts w:ascii="Calibri" w:eastAsia="宋体" w:hAnsi="Calibri" w:cs="Times New Roman" w:hint="eastAsia"/>
          <w:szCs w:val="21"/>
        </w:rPr>
        <w:t>二</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4.6</w:t>
      </w:r>
      <w:r w:rsidR="0074201D">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23</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不强，相对今年</w:t>
      </w:r>
      <w:r>
        <w:rPr>
          <w:rFonts w:ascii="Calibri" w:eastAsia="宋体" w:hAnsi="Calibri" w:cs="Times New Roman"/>
          <w:szCs w:val="21"/>
        </w:rPr>
        <w:t>10</w:t>
      </w:r>
      <w:r>
        <w:rPr>
          <w:rFonts w:ascii="Calibri" w:eastAsia="宋体" w:hAnsi="Calibri" w:cs="Times New Roman" w:hint="eastAsia"/>
          <w:szCs w:val="21"/>
        </w:rPr>
        <w:t>月的第</w:t>
      </w:r>
      <w:r w:rsidR="0074201D">
        <w:rPr>
          <w:rFonts w:ascii="Calibri" w:eastAsia="宋体" w:hAnsi="Calibri" w:cs="Times New Roman" w:hint="eastAsia"/>
          <w:szCs w:val="21"/>
        </w:rPr>
        <w:t>二</w:t>
      </w:r>
      <w:r>
        <w:rPr>
          <w:rFonts w:ascii="Calibri" w:eastAsia="宋体" w:hAnsi="Calibri" w:cs="Times New Roman" w:hint="eastAsia"/>
          <w:szCs w:val="21"/>
        </w:rPr>
        <w:t>周持平。</w:t>
      </w:r>
    </w:p>
    <w:p w14:paraId="61681E8E" w14:textId="77777777" w:rsidR="00EA45DA" w:rsidRDefault="008C0B37" w:rsidP="00EA45DA">
      <w:pPr>
        <w:ind w:firstLineChars="200" w:firstLine="420"/>
        <w:rPr>
          <w:rFonts w:ascii="Calibri" w:eastAsia="宋体" w:hAnsi="Calibri" w:cs="Times New Roman"/>
          <w:szCs w:val="21"/>
        </w:rPr>
      </w:pPr>
      <w:r>
        <w:rPr>
          <w:rFonts w:ascii="Calibri" w:eastAsia="宋体" w:hAnsi="Calibri" w:cs="Times New Roman"/>
          <w:szCs w:val="21"/>
        </w:rPr>
        <w:t>11</w:t>
      </w:r>
      <w:r w:rsidRPr="002A7C74">
        <w:rPr>
          <w:rFonts w:ascii="Calibri" w:eastAsia="宋体" w:hAnsi="Calibri" w:cs="Times New Roman"/>
          <w:szCs w:val="21"/>
        </w:rPr>
        <w:t>月第</w:t>
      </w:r>
      <w:r w:rsidR="0074201D">
        <w:rPr>
          <w:rFonts w:ascii="Calibri" w:eastAsia="宋体" w:hAnsi="Calibri" w:cs="Times New Roman" w:hint="eastAsia"/>
          <w:szCs w:val="21"/>
        </w:rPr>
        <w:t>三</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4.9</w:t>
      </w:r>
      <w:r w:rsidR="0074201D">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12</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改善，相对今年</w:t>
      </w:r>
      <w:r>
        <w:rPr>
          <w:rFonts w:ascii="Calibri" w:eastAsia="宋体" w:hAnsi="Calibri" w:cs="Times New Roman"/>
          <w:szCs w:val="21"/>
        </w:rPr>
        <w:t>10</w:t>
      </w:r>
      <w:r>
        <w:rPr>
          <w:rFonts w:ascii="Calibri" w:eastAsia="宋体" w:hAnsi="Calibri" w:cs="Times New Roman" w:hint="eastAsia"/>
          <w:szCs w:val="21"/>
        </w:rPr>
        <w:t>月的第</w:t>
      </w:r>
      <w:r w:rsidR="00EA45DA">
        <w:rPr>
          <w:rFonts w:ascii="Calibri" w:eastAsia="宋体" w:hAnsi="Calibri" w:cs="Times New Roman" w:hint="eastAsia"/>
          <w:szCs w:val="21"/>
        </w:rPr>
        <w:t>三</w:t>
      </w:r>
      <w:r>
        <w:rPr>
          <w:rFonts w:ascii="Calibri" w:eastAsia="宋体" w:hAnsi="Calibri" w:cs="Times New Roman" w:hint="eastAsia"/>
          <w:szCs w:val="21"/>
        </w:rPr>
        <w:t>周降</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7524C456" w14:textId="77777777" w:rsidR="00EA45DA" w:rsidRDefault="008C0B37" w:rsidP="00EA45DA">
      <w:pPr>
        <w:ind w:firstLineChars="200" w:firstLine="420"/>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月的生产改善明显，</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月的零售回升应该较明显，但目前的回升速度还是不快，但与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年的状态相近，也是较好的表现。</w:t>
      </w:r>
    </w:p>
    <w:p w14:paraId="781D3358" w14:textId="77777777" w:rsidR="00EA45DA" w:rsidRDefault="008C0B37" w:rsidP="00EA45DA">
      <w:pPr>
        <w:ind w:firstLineChars="200" w:firstLine="420"/>
        <w:rPr>
          <w:rFonts w:ascii="Calibri" w:eastAsia="宋体" w:hAnsi="Calibri" w:cs="Times New Roman"/>
          <w:szCs w:val="21"/>
        </w:rPr>
      </w:pPr>
      <w:r w:rsidRPr="00EA653D">
        <w:rPr>
          <w:rFonts w:ascii="Calibri" w:eastAsia="宋体" w:hAnsi="Calibri" w:cs="Times New Roman" w:hint="eastAsia"/>
          <w:szCs w:val="21"/>
        </w:rPr>
        <w:t>去年下半年高基数，促销力度大</w:t>
      </w:r>
      <w:r>
        <w:rPr>
          <w:rFonts w:ascii="Calibri" w:eastAsia="宋体" w:hAnsi="Calibri" w:cs="Times New Roman" w:hint="eastAsia"/>
          <w:szCs w:val="21"/>
        </w:rPr>
        <w:t>。今年</w:t>
      </w:r>
      <w:r w:rsidR="00EA45DA">
        <w:rPr>
          <w:rFonts w:ascii="Calibri" w:eastAsia="宋体" w:hAnsi="Calibri" w:cs="Times New Roman" w:hint="eastAsia"/>
          <w:szCs w:val="21"/>
        </w:rPr>
        <w:t>“双</w:t>
      </w:r>
      <w:r w:rsidR="00EA45DA">
        <w:rPr>
          <w:rFonts w:ascii="Calibri" w:eastAsia="宋体" w:hAnsi="Calibri" w:cs="Times New Roman" w:hint="eastAsia"/>
          <w:szCs w:val="21"/>
        </w:rPr>
        <w:t>1</w:t>
      </w:r>
      <w:r w:rsidR="00EA45DA">
        <w:rPr>
          <w:rFonts w:ascii="Calibri" w:eastAsia="宋体" w:hAnsi="Calibri" w:cs="Times New Roman"/>
          <w:szCs w:val="21"/>
        </w:rPr>
        <w:t>1</w:t>
      </w:r>
      <w:r w:rsidR="00EA45DA">
        <w:rPr>
          <w:rFonts w:ascii="Calibri" w:eastAsia="宋体" w:hAnsi="Calibri" w:cs="Times New Roman" w:hint="eastAsia"/>
          <w:szCs w:val="21"/>
        </w:rPr>
        <w:t>”</w:t>
      </w:r>
      <w:r>
        <w:rPr>
          <w:rFonts w:ascii="Calibri" w:eastAsia="宋体" w:hAnsi="Calibri" w:cs="Times New Roman" w:hint="eastAsia"/>
          <w:szCs w:val="21"/>
        </w:rPr>
        <w:t>的车市增量效果相对一般，第三周走势仍未明显提升。近期</w:t>
      </w:r>
      <w:r w:rsidRPr="00946C81">
        <w:rPr>
          <w:rFonts w:ascii="Calibri" w:eastAsia="宋体" w:hAnsi="Calibri" w:cs="Times New Roman" w:hint="eastAsia"/>
          <w:szCs w:val="21"/>
        </w:rPr>
        <w:t>散</w:t>
      </w:r>
      <w:r w:rsidR="00EA45DA">
        <w:rPr>
          <w:rFonts w:ascii="Calibri" w:eastAsia="宋体" w:hAnsi="Calibri" w:cs="Times New Roman" w:hint="eastAsia"/>
          <w:szCs w:val="21"/>
        </w:rPr>
        <w:t>发</w:t>
      </w:r>
      <w:r w:rsidRPr="00946C81">
        <w:rPr>
          <w:rFonts w:ascii="Calibri" w:eastAsia="宋体" w:hAnsi="Calibri" w:cs="Times New Roman" w:hint="eastAsia"/>
          <w:szCs w:val="21"/>
        </w:rPr>
        <w:t>式的疫情容易打乱当地市民的生产生活节奏，保持两点一线出行路径，除了利好网络电商、社区团购等无接触行业</w:t>
      </w:r>
      <w:r>
        <w:rPr>
          <w:rFonts w:ascii="Calibri" w:eastAsia="宋体" w:hAnsi="Calibri" w:cs="Times New Roman" w:hint="eastAsia"/>
          <w:szCs w:val="21"/>
        </w:rPr>
        <w:t>。目前</w:t>
      </w:r>
      <w:r w:rsidRPr="00EA653D">
        <w:rPr>
          <w:rFonts w:ascii="Calibri" w:eastAsia="宋体" w:hAnsi="Calibri" w:cs="Times New Roman" w:hint="eastAsia"/>
          <w:szCs w:val="21"/>
        </w:rPr>
        <w:t>各地的管控加严、信贷政策的收紧、恶劣天气的增加均造成购车延后</w:t>
      </w:r>
      <w:r>
        <w:rPr>
          <w:rFonts w:ascii="Calibri" w:eastAsia="宋体" w:hAnsi="Calibri" w:cs="Times New Roman" w:hint="eastAsia"/>
          <w:szCs w:val="21"/>
        </w:rPr>
        <w:t>。</w:t>
      </w:r>
    </w:p>
    <w:p w14:paraId="3E8B6D90" w14:textId="77777777" w:rsidR="00EA45DA" w:rsidRDefault="008C0B37" w:rsidP="00EA45DA">
      <w:pPr>
        <w:ind w:firstLineChars="200" w:firstLine="420"/>
        <w:rPr>
          <w:rFonts w:ascii="Calibri" w:eastAsia="宋体" w:hAnsi="Calibri" w:cs="Times New Roman"/>
          <w:szCs w:val="21"/>
        </w:rPr>
      </w:pPr>
      <w:r w:rsidRPr="00EA653D">
        <w:rPr>
          <w:rFonts w:ascii="Calibri" w:eastAsia="宋体" w:hAnsi="Calibri" w:cs="Times New Roman" w:hint="eastAsia"/>
          <w:szCs w:val="21"/>
        </w:rPr>
        <w:t>今年终端低库存，厂商促销收紧</w:t>
      </w:r>
      <w:r>
        <w:rPr>
          <w:rFonts w:ascii="Calibri" w:eastAsia="宋体" w:hAnsi="Calibri" w:cs="Times New Roman" w:hint="eastAsia"/>
          <w:szCs w:val="21"/>
        </w:rPr>
        <w:t>。</w:t>
      </w:r>
      <w:r w:rsidRPr="003A0308">
        <w:rPr>
          <w:rFonts w:ascii="Calibri" w:eastAsia="宋体" w:hAnsi="Calibri" w:cs="Times New Roman" w:hint="eastAsia"/>
          <w:szCs w:val="21"/>
        </w:rPr>
        <w:t>需求端不能完全释放</w:t>
      </w:r>
      <w:r>
        <w:rPr>
          <w:rFonts w:ascii="Calibri" w:eastAsia="宋体" w:hAnsi="Calibri" w:cs="Times New Roman" w:hint="eastAsia"/>
          <w:szCs w:val="21"/>
        </w:rPr>
        <w:t>。虽然</w:t>
      </w:r>
      <w:r w:rsidRPr="00EA653D">
        <w:rPr>
          <w:rFonts w:ascii="Calibri" w:eastAsia="宋体" w:hAnsi="Calibri" w:cs="Times New Roman" w:hint="eastAsia"/>
          <w:szCs w:val="21"/>
        </w:rPr>
        <w:t>芯片问题导致家用为主的</w:t>
      </w:r>
      <w:r>
        <w:rPr>
          <w:rFonts w:ascii="Calibri" w:eastAsia="宋体" w:hAnsi="Calibri" w:cs="Times New Roman" w:hint="eastAsia"/>
          <w:szCs w:val="21"/>
        </w:rPr>
        <w:t>传统</w:t>
      </w:r>
      <w:r w:rsidRPr="00EA653D">
        <w:rPr>
          <w:rFonts w:ascii="Calibri" w:eastAsia="宋体" w:hAnsi="Calibri" w:cs="Times New Roman"/>
          <w:szCs w:val="21"/>
        </w:rPr>
        <w:t>A</w:t>
      </w:r>
      <w:r w:rsidRPr="00EA653D">
        <w:rPr>
          <w:rFonts w:ascii="Calibri" w:eastAsia="宋体" w:hAnsi="Calibri" w:cs="Times New Roman"/>
          <w:szCs w:val="21"/>
        </w:rPr>
        <w:t>级车市场普遍库存不足，影响</w:t>
      </w:r>
      <w:r>
        <w:rPr>
          <w:rFonts w:ascii="Calibri" w:eastAsia="宋体" w:hAnsi="Calibri" w:cs="Times New Roman" w:hint="eastAsia"/>
          <w:szCs w:val="21"/>
        </w:rPr>
        <w:t>零售增速，未来</w:t>
      </w:r>
      <w:r w:rsidRPr="00EA653D">
        <w:rPr>
          <w:rFonts w:ascii="Calibri" w:eastAsia="宋体" w:hAnsi="Calibri" w:cs="Times New Roman"/>
          <w:szCs w:val="21"/>
        </w:rPr>
        <w:t>情况</w:t>
      </w:r>
      <w:r>
        <w:rPr>
          <w:rFonts w:ascii="Calibri" w:eastAsia="宋体" w:hAnsi="Calibri" w:cs="Times New Roman" w:hint="eastAsia"/>
          <w:szCs w:val="21"/>
        </w:rPr>
        <w:t>将会逐步的改善。</w:t>
      </w:r>
      <w:r w:rsidRPr="00EA653D">
        <w:rPr>
          <w:rFonts w:ascii="Calibri" w:eastAsia="宋体" w:hAnsi="Calibri" w:cs="Times New Roman"/>
          <w:szCs w:val="21"/>
        </w:rPr>
        <w:t xml:space="preserve"> </w:t>
      </w:r>
    </w:p>
    <w:p w14:paraId="5660857B" w14:textId="318EF0DE" w:rsidR="008C0B37" w:rsidRPr="00EA45DA" w:rsidRDefault="008C0B37" w:rsidP="00EA45DA">
      <w:pPr>
        <w:ind w:firstLineChars="200" w:firstLine="420"/>
        <w:rPr>
          <w:rFonts w:ascii="Calibri" w:eastAsia="宋体" w:hAnsi="Calibri" w:cs="Times New Roman"/>
          <w:szCs w:val="21"/>
        </w:rPr>
      </w:pPr>
      <w:r>
        <w:rPr>
          <w:rFonts w:ascii="Calibri" w:eastAsia="宋体" w:hAnsi="Calibri" w:cs="Times New Roman" w:hint="eastAsia"/>
          <w:szCs w:val="21"/>
        </w:rPr>
        <w:t>由于疫情的防控需要加之冰雪天气的出现，购车代步出行的刚需效果更为突出，</w:t>
      </w:r>
      <w:r w:rsidRPr="00964CBA">
        <w:rPr>
          <w:rFonts w:ascii="Calibri" w:eastAsia="宋体" w:hAnsi="Calibri" w:cs="Times New Roman" w:hint="eastAsia"/>
          <w:szCs w:val="21"/>
        </w:rPr>
        <w:t>消费者对于</w:t>
      </w:r>
      <w:r>
        <w:rPr>
          <w:rFonts w:ascii="Calibri" w:eastAsia="宋体" w:hAnsi="Calibri" w:cs="Times New Roman" w:hint="eastAsia"/>
          <w:szCs w:val="21"/>
        </w:rPr>
        <w:t>新能源</w:t>
      </w:r>
      <w:r w:rsidRPr="00964CBA">
        <w:rPr>
          <w:rFonts w:ascii="Calibri" w:eastAsia="宋体" w:hAnsi="Calibri" w:cs="Times New Roman" w:hint="eastAsia"/>
          <w:szCs w:val="21"/>
        </w:rPr>
        <w:t>车辆的需求持续回升</w:t>
      </w:r>
      <w:r>
        <w:rPr>
          <w:rFonts w:ascii="Calibri" w:eastAsia="宋体" w:hAnsi="Calibri" w:cs="Times New Roman" w:hint="eastAsia"/>
          <w:szCs w:val="21"/>
        </w:rPr>
        <w:t>，电动车表现较好</w:t>
      </w:r>
      <w:r w:rsidR="00EA45DA">
        <w:rPr>
          <w:rFonts w:ascii="Calibri" w:eastAsia="宋体" w:hAnsi="Calibri" w:cs="Times New Roman" w:hint="eastAsia"/>
          <w:szCs w:val="21"/>
        </w:rPr>
        <w:t>。</w:t>
      </w:r>
    </w:p>
    <w:p w14:paraId="6B6F0119" w14:textId="6B1BDB69" w:rsidR="008C0B37" w:rsidRPr="00EA45DA" w:rsidRDefault="00EA45DA" w:rsidP="008C0B37">
      <w:pPr>
        <w:numPr>
          <w:ilvl w:val="0"/>
          <w:numId w:val="2"/>
        </w:numPr>
        <w:outlineLvl w:val="1"/>
        <w:rPr>
          <w:rFonts w:ascii="黑体" w:eastAsia="黑体" w:hAnsi="黑体" w:cs="Times New Roman"/>
          <w:b/>
          <w:bCs/>
          <w:sz w:val="24"/>
        </w:rPr>
      </w:pPr>
      <w:r w:rsidRPr="00EA45DA">
        <w:rPr>
          <w:rFonts w:ascii="黑体" w:eastAsia="黑体" w:hAnsi="黑体" w:cs="Times New Roman"/>
          <w:b/>
          <w:bCs/>
          <w:sz w:val="24"/>
        </w:rPr>
        <w:lastRenderedPageBreak/>
        <w:t>11月乘用车市场周度批发走势</w:t>
      </w:r>
    </w:p>
    <w:p w14:paraId="1B374A23" w14:textId="047886A9" w:rsidR="00EA45DA" w:rsidRDefault="00EA45DA" w:rsidP="00EA45DA">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0AC1408E" wp14:editId="2FEDA40A">
            <wp:extent cx="4320000" cy="3160164"/>
            <wp:effectExtent l="0" t="0" r="444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extLst>
                        <a:ext uri="{28A0092B-C50C-407E-A947-70E740481C1C}">
                          <a14:useLocalDpi xmlns:a14="http://schemas.microsoft.com/office/drawing/2010/main" val="0"/>
                        </a:ext>
                      </a:extLst>
                    </a:blip>
                    <a:stretch>
                      <a:fillRect/>
                    </a:stretch>
                  </pic:blipFill>
                  <pic:spPr>
                    <a:xfrm>
                      <a:off x="0" y="0"/>
                      <a:ext cx="4320000" cy="3160164"/>
                    </a:xfrm>
                    <a:prstGeom prst="rect">
                      <a:avLst/>
                    </a:prstGeom>
                  </pic:spPr>
                </pic:pic>
              </a:graphicData>
            </a:graphic>
          </wp:inline>
        </w:drawing>
      </w:r>
    </w:p>
    <w:p w14:paraId="1ED2A836" w14:textId="078233A9" w:rsidR="008A26FB" w:rsidRPr="008A26FB" w:rsidRDefault="008A26FB" w:rsidP="008A26FB">
      <w:pPr>
        <w:jc w:val="center"/>
        <w:rPr>
          <w:rFonts w:ascii="Calibri" w:eastAsia="宋体" w:hAnsi="Calibri" w:cs="Times New Roman"/>
          <w:b/>
          <w:bCs/>
          <w:color w:val="FF0000"/>
          <w:szCs w:val="21"/>
        </w:rPr>
      </w:pPr>
      <w:r w:rsidRPr="0074201D">
        <w:rPr>
          <w:rFonts w:ascii="Calibri" w:eastAsia="宋体" w:hAnsi="Calibri" w:cs="Times New Roman" w:hint="eastAsia"/>
          <w:b/>
          <w:bCs/>
          <w:color w:val="FF0000"/>
          <w:szCs w:val="21"/>
        </w:rPr>
        <w:t>（月末数据未齐，内容同上周）</w:t>
      </w:r>
    </w:p>
    <w:p w14:paraId="1C89FCE4" w14:textId="381803A9" w:rsidR="008C0B37" w:rsidRDefault="008C0B37" w:rsidP="008A26FB">
      <w:pPr>
        <w:ind w:firstLineChars="200" w:firstLine="420"/>
        <w:rPr>
          <w:rFonts w:ascii="Calibri" w:eastAsia="宋体" w:hAnsi="Calibri" w:cs="Times New Roman"/>
          <w:szCs w:val="21"/>
        </w:rPr>
      </w:pPr>
      <w:r>
        <w:rPr>
          <w:rFonts w:ascii="Calibri" w:eastAsia="宋体" w:hAnsi="Calibri" w:cs="Times New Roman"/>
          <w:szCs w:val="21"/>
        </w:rPr>
        <w:t>11</w:t>
      </w:r>
      <w:r>
        <w:rPr>
          <w:rFonts w:ascii="Calibri" w:eastAsia="宋体" w:hAnsi="Calibri" w:cs="Times New Roman" w:hint="eastAsia"/>
          <w:szCs w:val="21"/>
        </w:rPr>
        <w:t>月第</w:t>
      </w:r>
      <w:r w:rsidR="00000062">
        <w:rPr>
          <w:rFonts w:ascii="Calibri" w:eastAsia="宋体" w:hAnsi="Calibri" w:cs="Times New Roman" w:hint="eastAsia"/>
          <w:szCs w:val="21"/>
        </w:rPr>
        <w:t>一</w:t>
      </w:r>
      <w:r>
        <w:rPr>
          <w:rFonts w:ascii="Calibri" w:eastAsia="宋体" w:hAnsi="Calibri" w:cs="Times New Roman" w:hint="eastAsia"/>
          <w:szCs w:val="21"/>
        </w:rPr>
        <w:t>周狭义乘用车全口径日均批发</w:t>
      </w:r>
      <w:r w:rsidR="00000062">
        <w:rPr>
          <w:rFonts w:ascii="Calibri" w:eastAsia="宋体" w:hAnsi="Calibri" w:cs="Times New Roman"/>
          <w:szCs w:val="21"/>
        </w:rPr>
        <w:t>4.0</w:t>
      </w:r>
      <w:r w:rsidR="0074201D">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26</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szCs w:val="21"/>
        </w:rPr>
        <w:t>10</w:t>
      </w:r>
      <w:r>
        <w:rPr>
          <w:rFonts w:ascii="Calibri" w:eastAsia="宋体" w:hAnsi="Calibri" w:cs="Times New Roman" w:hint="eastAsia"/>
          <w:szCs w:val="21"/>
        </w:rPr>
        <w:t>月第一周的销量增长</w:t>
      </w:r>
      <w:r>
        <w:rPr>
          <w:rFonts w:ascii="Calibri" w:eastAsia="宋体" w:hAnsi="Calibri" w:cs="Times New Roman"/>
          <w:szCs w:val="21"/>
        </w:rPr>
        <w:t>14</w:t>
      </w:r>
      <w:r>
        <w:rPr>
          <w:rFonts w:ascii="Calibri" w:eastAsia="宋体" w:hAnsi="Calibri" w:cs="Times New Roman" w:hint="eastAsia"/>
          <w:szCs w:val="21"/>
        </w:rPr>
        <w:t>%</w:t>
      </w:r>
      <w:r w:rsidR="00000062">
        <w:rPr>
          <w:rFonts w:ascii="Calibri" w:eastAsia="宋体" w:hAnsi="Calibri" w:cs="Times New Roman" w:hint="eastAsia"/>
          <w:szCs w:val="21"/>
        </w:rPr>
        <w:t>。</w:t>
      </w:r>
    </w:p>
    <w:p w14:paraId="74B78460" w14:textId="5573B7A7" w:rsidR="008C0B37" w:rsidRDefault="008C0B37" w:rsidP="008C0B37">
      <w:pPr>
        <w:ind w:firstLineChars="202" w:firstLine="424"/>
        <w:rPr>
          <w:rFonts w:ascii="Calibri" w:eastAsia="宋体" w:hAnsi="Calibri" w:cs="Times New Roman"/>
          <w:szCs w:val="21"/>
        </w:rPr>
      </w:pPr>
      <w:r>
        <w:rPr>
          <w:rFonts w:ascii="Calibri" w:eastAsia="宋体" w:hAnsi="Calibri" w:cs="Times New Roman"/>
          <w:szCs w:val="21"/>
        </w:rPr>
        <w:t>11</w:t>
      </w:r>
      <w:r>
        <w:rPr>
          <w:rFonts w:ascii="Calibri" w:eastAsia="宋体" w:hAnsi="Calibri" w:cs="Times New Roman" w:hint="eastAsia"/>
          <w:szCs w:val="21"/>
        </w:rPr>
        <w:t>月第</w:t>
      </w:r>
      <w:r w:rsidR="00000062">
        <w:rPr>
          <w:rFonts w:ascii="Calibri" w:eastAsia="宋体" w:hAnsi="Calibri" w:cs="Times New Roman" w:hint="eastAsia"/>
          <w:szCs w:val="21"/>
        </w:rPr>
        <w:t>二</w:t>
      </w:r>
      <w:r>
        <w:rPr>
          <w:rFonts w:ascii="Calibri" w:eastAsia="宋体" w:hAnsi="Calibri" w:cs="Times New Roman" w:hint="eastAsia"/>
          <w:szCs w:val="21"/>
        </w:rPr>
        <w:t>周狭义乘用车全口径日均批发</w:t>
      </w:r>
      <w:r>
        <w:rPr>
          <w:rFonts w:ascii="Calibri" w:eastAsia="宋体" w:hAnsi="Calibri" w:cs="Times New Roman"/>
          <w:szCs w:val="21"/>
        </w:rPr>
        <w:t>5.1</w:t>
      </w:r>
      <w:r w:rsidR="0074201D">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w:t>
      </w:r>
      <w:r w:rsidR="00000062">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szCs w:val="21"/>
        </w:rPr>
        <w:t>10</w:t>
      </w:r>
      <w:r>
        <w:rPr>
          <w:rFonts w:ascii="Calibri" w:eastAsia="宋体" w:hAnsi="Calibri" w:cs="Times New Roman" w:hint="eastAsia"/>
          <w:szCs w:val="21"/>
        </w:rPr>
        <w:t>月第</w:t>
      </w:r>
      <w:r w:rsidR="00000062">
        <w:rPr>
          <w:rFonts w:ascii="Calibri" w:eastAsia="宋体" w:hAnsi="Calibri" w:cs="Times New Roman" w:hint="eastAsia"/>
          <w:szCs w:val="21"/>
        </w:rPr>
        <w:t>二</w:t>
      </w:r>
      <w:r>
        <w:rPr>
          <w:rFonts w:ascii="Calibri" w:eastAsia="宋体" w:hAnsi="Calibri" w:cs="Times New Roman" w:hint="eastAsia"/>
          <w:szCs w:val="21"/>
        </w:rPr>
        <w:t>周的销量增长</w:t>
      </w:r>
      <w:r>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w:t>
      </w:r>
    </w:p>
    <w:p w14:paraId="3F5E5701" w14:textId="402F9F85" w:rsidR="008C0B37" w:rsidRDefault="008C0B37" w:rsidP="008C0B37">
      <w:pPr>
        <w:ind w:firstLineChars="202" w:firstLine="424"/>
        <w:rPr>
          <w:rFonts w:ascii="Calibri" w:eastAsia="宋体" w:hAnsi="Calibri" w:cs="Times New Roman"/>
          <w:szCs w:val="21"/>
        </w:rPr>
      </w:pPr>
      <w:r>
        <w:rPr>
          <w:rFonts w:ascii="Calibri" w:eastAsia="宋体" w:hAnsi="Calibri" w:cs="Times New Roman"/>
          <w:szCs w:val="21"/>
        </w:rPr>
        <w:t>11</w:t>
      </w:r>
      <w:r>
        <w:rPr>
          <w:rFonts w:ascii="Calibri" w:eastAsia="宋体" w:hAnsi="Calibri" w:cs="Times New Roman" w:hint="eastAsia"/>
          <w:szCs w:val="21"/>
        </w:rPr>
        <w:t>月第</w:t>
      </w:r>
      <w:r w:rsidR="00000062">
        <w:rPr>
          <w:rFonts w:ascii="Calibri" w:eastAsia="宋体" w:hAnsi="Calibri" w:cs="Times New Roman" w:hint="eastAsia"/>
          <w:szCs w:val="21"/>
        </w:rPr>
        <w:t>三</w:t>
      </w:r>
      <w:r>
        <w:rPr>
          <w:rFonts w:ascii="Calibri" w:eastAsia="宋体" w:hAnsi="Calibri" w:cs="Times New Roman" w:hint="eastAsia"/>
          <w:szCs w:val="21"/>
        </w:rPr>
        <w:t>周狭义乘用车全口径日均批发</w:t>
      </w:r>
      <w:r>
        <w:rPr>
          <w:rFonts w:ascii="Calibri" w:eastAsia="宋体" w:hAnsi="Calibri" w:cs="Times New Roman"/>
          <w:szCs w:val="21"/>
        </w:rPr>
        <w:t>6.3</w:t>
      </w:r>
      <w:r w:rsidR="0074201D">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szCs w:val="21"/>
        </w:rPr>
        <w:t>10</w:t>
      </w:r>
      <w:r>
        <w:rPr>
          <w:rFonts w:ascii="Calibri" w:eastAsia="宋体" w:hAnsi="Calibri" w:cs="Times New Roman" w:hint="eastAsia"/>
          <w:szCs w:val="21"/>
        </w:rPr>
        <w:t>月第</w:t>
      </w:r>
      <w:r w:rsidR="00000062">
        <w:rPr>
          <w:rFonts w:ascii="Calibri" w:eastAsia="宋体" w:hAnsi="Calibri" w:cs="Times New Roman" w:hint="eastAsia"/>
          <w:szCs w:val="21"/>
        </w:rPr>
        <w:t>三</w:t>
      </w:r>
      <w:r>
        <w:rPr>
          <w:rFonts w:ascii="Calibri" w:eastAsia="宋体" w:hAnsi="Calibri" w:cs="Times New Roman" w:hint="eastAsia"/>
          <w:szCs w:val="21"/>
        </w:rPr>
        <w:t>周的销量增长</w:t>
      </w:r>
      <w:r>
        <w:rPr>
          <w:rFonts w:ascii="Calibri" w:eastAsia="宋体" w:hAnsi="Calibri" w:cs="Times New Roman"/>
          <w:szCs w:val="21"/>
        </w:rPr>
        <w:t>14</w:t>
      </w:r>
      <w:r>
        <w:rPr>
          <w:rFonts w:ascii="Calibri" w:eastAsia="宋体" w:hAnsi="Calibri" w:cs="Times New Roman" w:hint="eastAsia"/>
          <w:szCs w:val="21"/>
        </w:rPr>
        <w:t>%</w:t>
      </w:r>
      <w:r>
        <w:rPr>
          <w:rFonts w:ascii="Calibri" w:eastAsia="宋体" w:hAnsi="Calibri" w:cs="Times New Roman" w:hint="eastAsia"/>
          <w:szCs w:val="21"/>
        </w:rPr>
        <w:t>，走势节奏跟上</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年同期水平。</w:t>
      </w:r>
    </w:p>
    <w:p w14:paraId="213C8C38" w14:textId="2F6F9AA1" w:rsidR="008C0B37" w:rsidRDefault="00000062" w:rsidP="008C0B37">
      <w:pPr>
        <w:ind w:firstLineChars="202" w:firstLine="424"/>
        <w:rPr>
          <w:rFonts w:ascii="Calibri" w:eastAsia="宋体" w:hAnsi="Calibri" w:cs="Times New Roman"/>
          <w:szCs w:val="21"/>
        </w:rPr>
      </w:pPr>
      <w:r>
        <w:rPr>
          <w:rFonts w:ascii="Calibri" w:eastAsia="宋体" w:hAnsi="Calibri" w:cs="Times New Roman" w:hint="eastAsia"/>
          <w:szCs w:val="21"/>
        </w:rPr>
        <w:t>近期</w:t>
      </w:r>
      <w:r w:rsidR="008C0B37">
        <w:rPr>
          <w:rFonts w:ascii="Calibri" w:eastAsia="宋体" w:hAnsi="Calibri" w:cs="Times New Roman" w:hint="eastAsia"/>
          <w:szCs w:val="21"/>
        </w:rPr>
        <w:t>疫情下的</w:t>
      </w:r>
      <w:r w:rsidR="008C0B37" w:rsidRPr="00A16695">
        <w:rPr>
          <w:rFonts w:ascii="Calibri" w:eastAsia="宋体" w:hAnsi="Calibri" w:cs="Times New Roman" w:hint="eastAsia"/>
          <w:szCs w:val="21"/>
        </w:rPr>
        <w:t>国内外环境中</w:t>
      </w:r>
      <w:r w:rsidR="008C0B37">
        <w:rPr>
          <w:rFonts w:ascii="Calibri" w:eastAsia="宋体" w:hAnsi="Calibri" w:cs="Times New Roman" w:hint="eastAsia"/>
          <w:szCs w:val="21"/>
        </w:rPr>
        <w:t>不</w:t>
      </w:r>
      <w:r w:rsidR="008C0B37" w:rsidRPr="00A16695">
        <w:rPr>
          <w:rFonts w:ascii="Calibri" w:eastAsia="宋体" w:hAnsi="Calibri" w:cs="Times New Roman" w:hint="eastAsia"/>
          <w:szCs w:val="21"/>
        </w:rPr>
        <w:t>确定因素增多，</w:t>
      </w:r>
      <w:r w:rsidR="008C0B37">
        <w:rPr>
          <w:rFonts w:ascii="Calibri" w:eastAsia="宋体" w:hAnsi="Calibri" w:cs="Times New Roman" w:hint="eastAsia"/>
          <w:szCs w:val="21"/>
        </w:rPr>
        <w:t>上游大</w:t>
      </w:r>
      <w:r w:rsidR="008C0B37" w:rsidRPr="00A16695">
        <w:rPr>
          <w:rFonts w:ascii="Calibri" w:eastAsia="宋体" w:hAnsi="Calibri" w:cs="Times New Roman" w:hint="eastAsia"/>
          <w:szCs w:val="21"/>
        </w:rPr>
        <w:t>宗商品价格上涨、电力煤炭供应紧张、严重洪涝灾害等</w:t>
      </w:r>
      <w:r>
        <w:rPr>
          <w:rFonts w:ascii="Calibri" w:eastAsia="宋体" w:hAnsi="Calibri" w:cs="Times New Roman" w:hint="eastAsia"/>
          <w:szCs w:val="21"/>
        </w:rPr>
        <w:t>，</w:t>
      </w:r>
      <w:r w:rsidR="008C0B37" w:rsidRPr="00A16695">
        <w:rPr>
          <w:rFonts w:ascii="Calibri" w:eastAsia="宋体" w:hAnsi="Calibri" w:cs="Times New Roman" w:hint="eastAsia"/>
          <w:szCs w:val="21"/>
        </w:rPr>
        <w:t>影响</w:t>
      </w:r>
      <w:r w:rsidR="008C0B37">
        <w:rPr>
          <w:rFonts w:ascii="Calibri" w:eastAsia="宋体" w:hAnsi="Calibri" w:cs="Times New Roman" w:hint="eastAsia"/>
          <w:szCs w:val="21"/>
        </w:rPr>
        <w:t>车市增长压力加大。</w:t>
      </w:r>
      <w:r w:rsidR="008C0B37">
        <w:rPr>
          <w:rFonts w:ascii="Calibri" w:eastAsia="宋体" w:hAnsi="Calibri" w:cs="Times New Roman" w:hint="eastAsia"/>
          <w:szCs w:val="21"/>
        </w:rPr>
        <w:t>1</w:t>
      </w:r>
      <w:r w:rsidR="008C0B37">
        <w:rPr>
          <w:rFonts w:ascii="Calibri" w:eastAsia="宋体" w:hAnsi="Calibri" w:cs="Times New Roman"/>
          <w:szCs w:val="21"/>
        </w:rPr>
        <w:t>1</w:t>
      </w:r>
      <w:r w:rsidR="008C0B37" w:rsidRPr="003A0308">
        <w:rPr>
          <w:rFonts w:ascii="Calibri" w:eastAsia="宋体" w:hAnsi="Calibri" w:cs="Times New Roman"/>
          <w:szCs w:val="21"/>
        </w:rPr>
        <w:t>月工作日</w:t>
      </w:r>
      <w:r w:rsidR="008C0B37">
        <w:rPr>
          <w:rFonts w:ascii="Calibri" w:eastAsia="宋体" w:hAnsi="Calibri" w:cs="Times New Roman" w:hint="eastAsia"/>
          <w:szCs w:val="21"/>
        </w:rPr>
        <w:t>多</w:t>
      </w:r>
      <w:r>
        <w:rPr>
          <w:rFonts w:ascii="Calibri" w:eastAsia="宋体" w:hAnsi="Calibri" w:cs="Times New Roman" w:hint="eastAsia"/>
          <w:szCs w:val="21"/>
        </w:rPr>
        <w:t>于</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w:t>
      </w:r>
      <w:r w:rsidR="008C0B37" w:rsidRPr="003A0308">
        <w:rPr>
          <w:rFonts w:ascii="Calibri" w:eastAsia="宋体" w:hAnsi="Calibri" w:cs="Times New Roman"/>
          <w:szCs w:val="21"/>
        </w:rPr>
        <w:t>受芯片影响的产能</w:t>
      </w:r>
      <w:r w:rsidR="008C0B37">
        <w:rPr>
          <w:rFonts w:ascii="Calibri" w:eastAsia="宋体" w:hAnsi="Calibri" w:cs="Times New Roman" w:hint="eastAsia"/>
          <w:szCs w:val="21"/>
        </w:rPr>
        <w:t>逐步释放。目前</w:t>
      </w:r>
      <w:r w:rsidR="008C0B37" w:rsidRPr="003A0308">
        <w:rPr>
          <w:rFonts w:ascii="Calibri" w:eastAsia="宋体" w:hAnsi="Calibri" w:cs="Times New Roman" w:hint="eastAsia"/>
          <w:szCs w:val="21"/>
        </w:rPr>
        <w:t>各地有序用电，</w:t>
      </w:r>
      <w:r w:rsidR="008C0B37">
        <w:rPr>
          <w:rFonts w:ascii="Calibri" w:eastAsia="宋体" w:hAnsi="Calibri" w:cs="Times New Roman" w:hint="eastAsia"/>
          <w:szCs w:val="21"/>
        </w:rPr>
        <w:t>对</w:t>
      </w:r>
      <w:r w:rsidR="008C0B37" w:rsidRPr="003A0308">
        <w:rPr>
          <w:rFonts w:ascii="Calibri" w:eastAsia="宋体" w:hAnsi="Calibri" w:cs="Times New Roman" w:hint="eastAsia"/>
          <w:szCs w:val="21"/>
        </w:rPr>
        <w:t>汽车产业供应风险</w:t>
      </w:r>
      <w:r w:rsidR="008C0B37">
        <w:rPr>
          <w:rFonts w:ascii="Calibri" w:eastAsia="宋体" w:hAnsi="Calibri" w:cs="Times New Roman" w:hint="eastAsia"/>
          <w:szCs w:val="21"/>
        </w:rPr>
        <w:t>不大。由于</w:t>
      </w:r>
      <w:r w:rsidR="008C0B37" w:rsidRPr="003A0308">
        <w:rPr>
          <w:rFonts w:ascii="Calibri" w:eastAsia="宋体" w:hAnsi="Calibri" w:cs="Times New Roman" w:hint="eastAsia"/>
          <w:szCs w:val="21"/>
        </w:rPr>
        <w:t>对新能源积分的需求大量存在，</w:t>
      </w:r>
      <w:r w:rsidR="008C0B37" w:rsidRPr="003A0308">
        <w:rPr>
          <w:rFonts w:ascii="Calibri" w:eastAsia="宋体" w:hAnsi="Calibri" w:cs="Times New Roman"/>
          <w:szCs w:val="21"/>
        </w:rPr>
        <w:t>纯电动产品热度可持续到</w:t>
      </w:r>
      <w:r w:rsidR="008C0B37" w:rsidRPr="003A0308">
        <w:rPr>
          <w:rFonts w:ascii="Calibri" w:eastAsia="宋体" w:hAnsi="Calibri" w:cs="Times New Roman"/>
          <w:szCs w:val="21"/>
        </w:rPr>
        <w:t>2021</w:t>
      </w:r>
      <w:r w:rsidR="008C0B37" w:rsidRPr="003A0308">
        <w:rPr>
          <w:rFonts w:ascii="Calibri" w:eastAsia="宋体" w:hAnsi="Calibri" w:cs="Times New Roman"/>
          <w:szCs w:val="21"/>
        </w:rPr>
        <w:t>年底</w:t>
      </w:r>
      <w:r w:rsidR="008C0B37">
        <w:rPr>
          <w:rFonts w:ascii="Calibri" w:eastAsia="宋体" w:hAnsi="Calibri" w:cs="Times New Roman" w:hint="eastAsia"/>
          <w:szCs w:val="21"/>
        </w:rPr>
        <w:t>，因此车市新能源仍是相对较好的</w:t>
      </w:r>
      <w:r w:rsidR="008C0B37" w:rsidRPr="003A0308">
        <w:rPr>
          <w:rFonts w:ascii="Calibri" w:eastAsia="宋体" w:hAnsi="Calibri" w:cs="Times New Roman"/>
          <w:szCs w:val="21"/>
        </w:rPr>
        <w:t>。</w:t>
      </w:r>
    </w:p>
    <w:p w14:paraId="2ADC056E" w14:textId="761BA1D7" w:rsidR="008C0B37" w:rsidRDefault="008C0B37" w:rsidP="008C0B37">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11</w:t>
      </w:r>
      <w:r>
        <w:rPr>
          <w:rFonts w:ascii="Calibri" w:eastAsia="宋体" w:hAnsi="Calibri" w:cs="Times New Roman" w:hint="eastAsia"/>
          <w:szCs w:val="21"/>
        </w:rPr>
        <w:t>月初的</w:t>
      </w:r>
      <w:r w:rsidR="00000062">
        <w:rPr>
          <w:rFonts w:ascii="Calibri" w:eastAsia="宋体" w:hAnsi="Calibri" w:cs="Times New Roman" w:hint="eastAsia"/>
          <w:szCs w:val="21"/>
        </w:rPr>
        <w:t>厂商</w:t>
      </w:r>
      <w:r>
        <w:rPr>
          <w:rFonts w:ascii="Calibri" w:eastAsia="宋体" w:hAnsi="Calibri" w:cs="Times New Roman" w:hint="eastAsia"/>
          <w:szCs w:val="21"/>
        </w:rPr>
        <w:t>批发总体同比下降较大，虽然芯片供给改善，环比</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月的产销表现较强，生产供给明显改善，但相对去年同期的销量下降仍是较大。</w:t>
      </w:r>
    </w:p>
    <w:p w14:paraId="1DDA3B11" w14:textId="76287B75" w:rsidR="008C0B37" w:rsidRPr="00F87B31" w:rsidRDefault="008C0B37" w:rsidP="00EE3133">
      <w:pPr>
        <w:ind w:firstLineChars="202" w:firstLine="424"/>
        <w:rPr>
          <w:rFonts w:ascii="Calibri" w:eastAsia="宋体" w:hAnsi="Calibri" w:cs="Times New Roman"/>
          <w:szCs w:val="21"/>
        </w:rPr>
      </w:pPr>
      <w:r>
        <w:rPr>
          <w:rFonts w:ascii="Calibri" w:eastAsia="宋体" w:hAnsi="Calibri" w:cs="Times New Roman" w:hint="eastAsia"/>
          <w:szCs w:val="21"/>
        </w:rPr>
        <w:t>供需错配问题仍需要一定时间调整。今年年底的</w:t>
      </w:r>
      <w:r w:rsidRPr="00946C81">
        <w:rPr>
          <w:rFonts w:ascii="Calibri" w:eastAsia="宋体" w:hAnsi="Calibri" w:cs="Times New Roman" w:hint="eastAsia"/>
          <w:szCs w:val="21"/>
        </w:rPr>
        <w:t>燃油车由于销量的惯性，仍然有增长的空间，四五线城市可以由共同富裕的目标带动收入增长，有可能拉动首购的市场</w:t>
      </w:r>
      <w:r>
        <w:rPr>
          <w:rFonts w:ascii="Calibri" w:eastAsia="宋体" w:hAnsi="Calibri" w:cs="Times New Roman" w:hint="eastAsia"/>
          <w:szCs w:val="21"/>
        </w:rPr>
        <w:t>。由于</w:t>
      </w:r>
      <w:r w:rsidRPr="0000272B">
        <w:rPr>
          <w:rFonts w:ascii="Calibri" w:eastAsia="宋体" w:hAnsi="Calibri" w:cs="Times New Roman" w:hint="eastAsia"/>
          <w:szCs w:val="21"/>
        </w:rPr>
        <w:t>部份地方政策在</w:t>
      </w:r>
      <w:r w:rsidRPr="0000272B">
        <w:rPr>
          <w:rFonts w:ascii="Calibri" w:eastAsia="宋体" w:hAnsi="Calibri" w:cs="Times New Roman"/>
          <w:szCs w:val="21"/>
        </w:rPr>
        <w:t>12</w:t>
      </w:r>
      <w:r w:rsidRPr="0000272B">
        <w:rPr>
          <w:rFonts w:ascii="Calibri" w:eastAsia="宋体" w:hAnsi="Calibri" w:cs="Times New Roman"/>
          <w:szCs w:val="21"/>
        </w:rPr>
        <w:t>月份到期，加之今年春节提前，</w:t>
      </w:r>
      <w:r w:rsidR="00096D21">
        <w:rPr>
          <w:rFonts w:ascii="Calibri" w:eastAsia="宋体" w:hAnsi="Calibri" w:cs="Times New Roman" w:hint="eastAsia"/>
          <w:szCs w:val="21"/>
        </w:rPr>
        <w:t>将</w:t>
      </w:r>
      <w:r w:rsidRPr="0000272B">
        <w:rPr>
          <w:rFonts w:ascii="Calibri" w:eastAsia="宋体" w:hAnsi="Calibri" w:cs="Times New Roman"/>
          <w:szCs w:val="21"/>
        </w:rPr>
        <w:t>催化</w:t>
      </w:r>
      <w:r w:rsidRPr="0000272B">
        <w:rPr>
          <w:rFonts w:ascii="Calibri" w:eastAsia="宋体" w:hAnsi="Calibri" w:cs="Times New Roman"/>
          <w:szCs w:val="21"/>
        </w:rPr>
        <w:t>11</w:t>
      </w:r>
      <w:r w:rsidRPr="0000272B">
        <w:rPr>
          <w:rFonts w:ascii="Calibri" w:eastAsia="宋体" w:hAnsi="Calibri" w:cs="Times New Roman"/>
          <w:szCs w:val="21"/>
        </w:rPr>
        <w:t>月、</w:t>
      </w:r>
      <w:r w:rsidRPr="0000272B">
        <w:rPr>
          <w:rFonts w:ascii="Calibri" w:eastAsia="宋体" w:hAnsi="Calibri" w:cs="Times New Roman"/>
          <w:szCs w:val="21"/>
        </w:rPr>
        <w:t>12</w:t>
      </w:r>
      <w:r w:rsidRPr="0000272B">
        <w:rPr>
          <w:rFonts w:ascii="Calibri" w:eastAsia="宋体" w:hAnsi="Calibri" w:cs="Times New Roman"/>
          <w:szCs w:val="21"/>
        </w:rPr>
        <w:t>月终端需求的热度</w:t>
      </w:r>
      <w:r>
        <w:rPr>
          <w:rFonts w:ascii="Calibri" w:eastAsia="宋体" w:hAnsi="Calibri" w:cs="Times New Roman" w:hint="eastAsia"/>
          <w:szCs w:val="21"/>
        </w:rPr>
        <w:t>。</w:t>
      </w:r>
    </w:p>
    <w:p w14:paraId="13C6AD1C" w14:textId="77777777" w:rsidR="0048057D" w:rsidRPr="00096D21" w:rsidRDefault="0048057D" w:rsidP="0048057D">
      <w:pPr>
        <w:ind w:firstLineChars="135" w:firstLine="283"/>
        <w:rPr>
          <w:rFonts w:ascii="Calibri" w:eastAsia="宋体" w:hAnsi="Calibri" w:cs="Times New Roman"/>
          <w:szCs w:val="21"/>
        </w:rPr>
      </w:pPr>
    </w:p>
    <w:p w14:paraId="47EBCF5B" w14:textId="3DBC94A6" w:rsidR="0048057D" w:rsidRPr="002009FE" w:rsidRDefault="008C0B37" w:rsidP="0048057D">
      <w:pPr>
        <w:numPr>
          <w:ilvl w:val="0"/>
          <w:numId w:val="2"/>
        </w:numPr>
        <w:outlineLvl w:val="1"/>
        <w:rPr>
          <w:rFonts w:ascii="黑体" w:eastAsia="黑体" w:hAnsi="黑体" w:cs="Times New Roman"/>
          <w:b/>
          <w:bCs/>
          <w:sz w:val="24"/>
        </w:rPr>
      </w:pPr>
      <w:r w:rsidRPr="008C0B37">
        <w:rPr>
          <w:rFonts w:ascii="黑体" w:eastAsia="黑体" w:hAnsi="黑体" w:cs="Times New Roman"/>
          <w:b/>
          <w:bCs/>
          <w:sz w:val="24"/>
        </w:rPr>
        <w:t>2021年10月中国</w:t>
      </w:r>
      <w:r w:rsidR="00096D21">
        <w:rPr>
          <w:rFonts w:ascii="黑体" w:eastAsia="黑体" w:hAnsi="黑体" w:cs="Times New Roman" w:hint="eastAsia"/>
          <w:b/>
          <w:bCs/>
          <w:sz w:val="24"/>
        </w:rPr>
        <w:t>新能源车</w:t>
      </w:r>
      <w:r w:rsidRPr="008C0B37">
        <w:rPr>
          <w:rFonts w:ascii="黑体" w:eastAsia="黑体" w:hAnsi="黑体" w:cs="Times New Roman"/>
          <w:b/>
          <w:bCs/>
          <w:sz w:val="24"/>
        </w:rPr>
        <w:t>占世界</w:t>
      </w:r>
      <w:r w:rsidR="00096D21">
        <w:rPr>
          <w:rFonts w:ascii="黑体" w:eastAsia="黑体" w:hAnsi="黑体" w:cs="Times New Roman" w:hint="eastAsia"/>
          <w:b/>
          <w:bCs/>
          <w:sz w:val="24"/>
        </w:rPr>
        <w:t>份额六</w:t>
      </w:r>
      <w:r>
        <w:rPr>
          <w:rFonts w:ascii="黑体" w:eastAsia="黑体" w:hAnsi="黑体" w:cs="Times New Roman" w:hint="eastAsia"/>
          <w:b/>
          <w:bCs/>
          <w:sz w:val="24"/>
        </w:rPr>
        <w:t>成</w:t>
      </w:r>
    </w:p>
    <w:p w14:paraId="53E63A0D" w14:textId="77777777" w:rsidR="00096D21" w:rsidRDefault="008C0B37" w:rsidP="00096D21">
      <w:pPr>
        <w:ind w:firstLineChars="200" w:firstLine="420"/>
        <w:rPr>
          <w:rFonts w:ascii="Calibri" w:eastAsia="宋体" w:hAnsi="Calibri" w:cs="Times New Roman"/>
          <w:szCs w:val="21"/>
        </w:rPr>
      </w:pPr>
      <w:r w:rsidRPr="008C0B37">
        <w:rPr>
          <w:rFonts w:ascii="Calibri" w:eastAsia="宋体" w:hAnsi="Calibri" w:cs="Times New Roman"/>
          <w:szCs w:val="21"/>
        </w:rPr>
        <w:t>2021</w:t>
      </w:r>
      <w:r w:rsidRPr="008C0B37">
        <w:rPr>
          <w:rFonts w:ascii="Calibri" w:eastAsia="宋体" w:hAnsi="Calibri" w:cs="Times New Roman"/>
          <w:szCs w:val="21"/>
        </w:rPr>
        <w:t>年</w:t>
      </w:r>
      <w:r w:rsidRPr="008C0B37">
        <w:rPr>
          <w:rFonts w:ascii="Calibri" w:eastAsia="宋体" w:hAnsi="Calibri" w:cs="Times New Roman"/>
          <w:szCs w:val="21"/>
        </w:rPr>
        <w:t>1-10</w:t>
      </w:r>
      <w:r w:rsidRPr="008C0B37">
        <w:rPr>
          <w:rFonts w:ascii="Calibri" w:eastAsia="宋体" w:hAnsi="Calibri" w:cs="Times New Roman"/>
          <w:szCs w:val="21"/>
        </w:rPr>
        <w:t>月全球广义新能源乘用车销量达到</w:t>
      </w:r>
      <w:r w:rsidRPr="008C0B37">
        <w:rPr>
          <w:rFonts w:ascii="Calibri" w:eastAsia="宋体" w:hAnsi="Calibri" w:cs="Times New Roman"/>
          <w:szCs w:val="21"/>
        </w:rPr>
        <w:t>702</w:t>
      </w:r>
      <w:r w:rsidR="0074201D">
        <w:rPr>
          <w:rFonts w:ascii="Calibri" w:eastAsia="宋体" w:hAnsi="Calibri" w:cs="Times New Roman"/>
          <w:szCs w:val="21"/>
        </w:rPr>
        <w:t>万辆</w:t>
      </w:r>
      <w:r w:rsidRPr="008C0B37">
        <w:rPr>
          <w:rFonts w:ascii="Calibri" w:eastAsia="宋体" w:hAnsi="Calibri" w:cs="Times New Roman"/>
          <w:szCs w:val="21"/>
        </w:rPr>
        <w:t>。其中插混、纯电动、燃料电池的狭义新能源车全球销量达到</w:t>
      </w:r>
      <w:r w:rsidRPr="008C0B37">
        <w:rPr>
          <w:rFonts w:ascii="Calibri" w:eastAsia="宋体" w:hAnsi="Calibri" w:cs="Times New Roman"/>
          <w:szCs w:val="21"/>
        </w:rPr>
        <w:t>456</w:t>
      </w:r>
      <w:r w:rsidR="0074201D">
        <w:rPr>
          <w:rFonts w:ascii="Calibri" w:eastAsia="宋体" w:hAnsi="Calibri" w:cs="Times New Roman"/>
          <w:szCs w:val="21"/>
        </w:rPr>
        <w:t>万辆</w:t>
      </w:r>
      <w:r w:rsidRPr="008C0B37">
        <w:rPr>
          <w:rFonts w:ascii="Calibri" w:eastAsia="宋体" w:hAnsi="Calibri" w:cs="Times New Roman"/>
          <w:szCs w:val="21"/>
        </w:rPr>
        <w:t>，同比增长</w:t>
      </w:r>
      <w:r w:rsidRPr="008C0B37">
        <w:rPr>
          <w:rFonts w:ascii="Calibri" w:eastAsia="宋体" w:hAnsi="Calibri" w:cs="Times New Roman"/>
          <w:szCs w:val="21"/>
        </w:rPr>
        <w:t>132%</w:t>
      </w:r>
      <w:r w:rsidRPr="008C0B37">
        <w:rPr>
          <w:rFonts w:ascii="Calibri" w:eastAsia="宋体" w:hAnsi="Calibri" w:cs="Times New Roman"/>
          <w:szCs w:val="21"/>
        </w:rPr>
        <w:t>。中国新能源乘用车</w:t>
      </w:r>
      <w:r w:rsidR="00096D21">
        <w:rPr>
          <w:rFonts w:ascii="Calibri" w:eastAsia="宋体" w:hAnsi="Calibri" w:cs="Times New Roman" w:hint="eastAsia"/>
          <w:szCs w:val="21"/>
        </w:rPr>
        <w:t>2</w:t>
      </w:r>
      <w:r w:rsidR="00096D21">
        <w:rPr>
          <w:rFonts w:ascii="Calibri" w:eastAsia="宋体" w:hAnsi="Calibri" w:cs="Times New Roman"/>
          <w:szCs w:val="21"/>
        </w:rPr>
        <w:t>0</w:t>
      </w:r>
      <w:r w:rsidRPr="008C0B37">
        <w:rPr>
          <w:rFonts w:ascii="Calibri" w:eastAsia="宋体" w:hAnsi="Calibri" w:cs="Times New Roman"/>
          <w:szCs w:val="21"/>
        </w:rPr>
        <w:t>19</w:t>
      </w:r>
      <w:r w:rsidRPr="008C0B37">
        <w:rPr>
          <w:rFonts w:ascii="Calibri" w:eastAsia="宋体" w:hAnsi="Calibri" w:cs="Times New Roman"/>
          <w:szCs w:val="21"/>
        </w:rPr>
        <w:t>年的世界份额达到</w:t>
      </w:r>
      <w:r w:rsidRPr="008C0B37">
        <w:rPr>
          <w:rFonts w:ascii="Calibri" w:eastAsia="宋体" w:hAnsi="Calibri" w:cs="Times New Roman"/>
          <w:szCs w:val="21"/>
        </w:rPr>
        <w:t>51%</w:t>
      </w:r>
      <w:r w:rsidRPr="008C0B37">
        <w:rPr>
          <w:rFonts w:ascii="Calibri" w:eastAsia="宋体" w:hAnsi="Calibri" w:cs="Times New Roman"/>
          <w:szCs w:val="21"/>
        </w:rPr>
        <w:t>。但</w:t>
      </w:r>
      <w:r w:rsidRPr="008C0B37">
        <w:rPr>
          <w:rFonts w:ascii="Calibri" w:eastAsia="宋体" w:hAnsi="Calibri" w:cs="Times New Roman"/>
          <w:szCs w:val="21"/>
        </w:rPr>
        <w:t>2020</w:t>
      </w:r>
      <w:r w:rsidRPr="008C0B37">
        <w:rPr>
          <w:rFonts w:ascii="Calibri" w:eastAsia="宋体" w:hAnsi="Calibri" w:cs="Times New Roman"/>
          <w:szCs w:val="21"/>
        </w:rPr>
        <w:t>年受到政策环境与疫情等的影响，中国新能源车市场世界</w:t>
      </w:r>
      <w:r w:rsidR="00096D21">
        <w:rPr>
          <w:rFonts w:ascii="Calibri" w:eastAsia="宋体" w:hAnsi="Calibri" w:cs="Times New Roman" w:hint="eastAsia"/>
          <w:szCs w:val="21"/>
        </w:rPr>
        <w:t>占比</w:t>
      </w:r>
      <w:r w:rsidRPr="008C0B37">
        <w:rPr>
          <w:rFonts w:ascii="Calibri" w:eastAsia="宋体" w:hAnsi="Calibri" w:cs="Times New Roman"/>
          <w:szCs w:val="21"/>
        </w:rPr>
        <w:t>下降到</w:t>
      </w:r>
      <w:r w:rsidRPr="008C0B37">
        <w:rPr>
          <w:rFonts w:ascii="Calibri" w:eastAsia="宋体" w:hAnsi="Calibri" w:cs="Times New Roman"/>
          <w:szCs w:val="21"/>
        </w:rPr>
        <w:t>41%</w:t>
      </w:r>
      <w:r w:rsidRPr="008C0B37">
        <w:rPr>
          <w:rFonts w:ascii="Calibri" w:eastAsia="宋体" w:hAnsi="Calibri" w:cs="Times New Roman"/>
          <w:szCs w:val="21"/>
        </w:rPr>
        <w:t>，欧洲超越态势明显。</w:t>
      </w:r>
      <w:r w:rsidRPr="008C0B37">
        <w:rPr>
          <w:rFonts w:ascii="Calibri" w:eastAsia="宋体" w:hAnsi="Calibri" w:cs="Times New Roman"/>
          <w:szCs w:val="21"/>
        </w:rPr>
        <w:t>2021</w:t>
      </w:r>
      <w:r w:rsidRPr="008C0B37">
        <w:rPr>
          <w:rFonts w:ascii="Calibri" w:eastAsia="宋体" w:hAnsi="Calibri" w:cs="Times New Roman"/>
          <w:szCs w:val="21"/>
        </w:rPr>
        <w:t>年</w:t>
      </w:r>
      <w:r w:rsidRPr="008C0B37">
        <w:rPr>
          <w:rFonts w:ascii="Calibri" w:eastAsia="宋体" w:hAnsi="Calibri" w:cs="Times New Roman"/>
          <w:szCs w:val="21"/>
        </w:rPr>
        <w:t>1-10</w:t>
      </w:r>
      <w:r w:rsidRPr="008C0B37">
        <w:rPr>
          <w:rFonts w:ascii="Calibri" w:eastAsia="宋体" w:hAnsi="Calibri" w:cs="Times New Roman"/>
          <w:szCs w:val="21"/>
        </w:rPr>
        <w:t>月，中国新能源乘用车世界份额</w:t>
      </w:r>
      <w:r w:rsidRPr="008C0B37">
        <w:rPr>
          <w:rFonts w:ascii="Calibri" w:eastAsia="宋体" w:hAnsi="Calibri" w:cs="Times New Roman"/>
          <w:szCs w:val="21"/>
        </w:rPr>
        <w:t>50%</w:t>
      </w:r>
      <w:r w:rsidRPr="008C0B37">
        <w:rPr>
          <w:rFonts w:ascii="Calibri" w:eastAsia="宋体" w:hAnsi="Calibri" w:cs="Times New Roman"/>
          <w:szCs w:val="21"/>
        </w:rPr>
        <w:t>，其中</w:t>
      </w:r>
      <w:r w:rsidRPr="008C0B37">
        <w:rPr>
          <w:rFonts w:ascii="Calibri" w:eastAsia="宋体" w:hAnsi="Calibri" w:cs="Times New Roman"/>
          <w:szCs w:val="21"/>
        </w:rPr>
        <w:t>10</w:t>
      </w:r>
      <w:r w:rsidRPr="008C0B37">
        <w:rPr>
          <w:rFonts w:ascii="Calibri" w:eastAsia="宋体" w:hAnsi="Calibri" w:cs="Times New Roman"/>
          <w:szCs w:val="21"/>
        </w:rPr>
        <w:t>月达到</w:t>
      </w:r>
      <w:r w:rsidRPr="008C0B37">
        <w:rPr>
          <w:rFonts w:ascii="Calibri" w:eastAsia="宋体" w:hAnsi="Calibri" w:cs="Times New Roman"/>
          <w:szCs w:val="21"/>
        </w:rPr>
        <w:t>61%</w:t>
      </w:r>
      <w:r w:rsidRPr="008C0B37">
        <w:rPr>
          <w:rFonts w:ascii="Calibri" w:eastAsia="宋体" w:hAnsi="Calibri" w:cs="Times New Roman"/>
          <w:szCs w:val="21"/>
        </w:rPr>
        <w:t>，占比世界新能源</w:t>
      </w:r>
      <w:r w:rsidR="00096D21">
        <w:rPr>
          <w:rFonts w:ascii="Calibri" w:eastAsia="宋体" w:hAnsi="Calibri" w:cs="Times New Roman" w:hint="eastAsia"/>
          <w:szCs w:val="21"/>
        </w:rPr>
        <w:t>车六</w:t>
      </w:r>
      <w:r w:rsidRPr="008C0B37">
        <w:rPr>
          <w:rFonts w:ascii="Calibri" w:eastAsia="宋体" w:hAnsi="Calibri" w:cs="Times New Roman"/>
          <w:szCs w:val="21"/>
        </w:rPr>
        <w:t>成的表现优秀。</w:t>
      </w:r>
    </w:p>
    <w:p w14:paraId="64DE08D3" w14:textId="30B0E5DC" w:rsidR="0048057D" w:rsidRDefault="008C0B37" w:rsidP="00096D21">
      <w:pPr>
        <w:ind w:firstLineChars="200" w:firstLine="420"/>
        <w:rPr>
          <w:rFonts w:ascii="Calibri" w:eastAsia="宋体" w:hAnsi="Calibri" w:cs="Times New Roman"/>
          <w:szCs w:val="21"/>
        </w:rPr>
      </w:pPr>
      <w:r w:rsidRPr="008C0B37">
        <w:rPr>
          <w:rFonts w:ascii="Calibri" w:eastAsia="宋体" w:hAnsi="Calibri" w:cs="Times New Roman"/>
          <w:szCs w:val="21"/>
        </w:rPr>
        <w:t>2020</w:t>
      </w:r>
      <w:r w:rsidRPr="008C0B37">
        <w:rPr>
          <w:rFonts w:ascii="Calibri" w:eastAsia="宋体" w:hAnsi="Calibri" w:cs="Times New Roman"/>
          <w:szCs w:val="21"/>
        </w:rPr>
        <w:t>年全年新能源车销量超强表现的原因是碳排放的压力影响，并非特斯拉的显著贡献。海外疫情影响下的欧美新能源政策支持力度较强，</w:t>
      </w:r>
      <w:r w:rsidRPr="008C0B37">
        <w:rPr>
          <w:rFonts w:ascii="Calibri" w:eastAsia="宋体" w:hAnsi="Calibri" w:cs="Times New Roman"/>
          <w:szCs w:val="21"/>
        </w:rPr>
        <w:t>2020</w:t>
      </w:r>
      <w:r w:rsidRPr="008C0B37">
        <w:rPr>
          <w:rFonts w:ascii="Calibri" w:eastAsia="宋体" w:hAnsi="Calibri" w:cs="Times New Roman"/>
          <w:szCs w:val="21"/>
        </w:rPr>
        <w:t>年下半年的中国新能源车市场逐步恢复。</w:t>
      </w:r>
      <w:r w:rsidRPr="008C0B37">
        <w:rPr>
          <w:rFonts w:ascii="Calibri" w:eastAsia="宋体" w:hAnsi="Calibri" w:cs="Times New Roman"/>
          <w:szCs w:val="21"/>
        </w:rPr>
        <w:t>2021</w:t>
      </w:r>
      <w:r w:rsidRPr="008C0B37">
        <w:rPr>
          <w:rFonts w:ascii="Calibri" w:eastAsia="宋体" w:hAnsi="Calibri" w:cs="Times New Roman"/>
          <w:szCs w:val="21"/>
        </w:rPr>
        <w:t>年</w:t>
      </w:r>
      <w:r w:rsidR="00BB5C8A">
        <w:rPr>
          <w:rFonts w:ascii="Calibri" w:eastAsia="宋体" w:hAnsi="Calibri" w:cs="Times New Roman" w:hint="eastAsia"/>
          <w:szCs w:val="21"/>
        </w:rPr>
        <w:t>三</w:t>
      </w:r>
      <w:r w:rsidRPr="008C0B37">
        <w:rPr>
          <w:rFonts w:ascii="Calibri" w:eastAsia="宋体" w:hAnsi="Calibri" w:cs="Times New Roman"/>
          <w:szCs w:val="21"/>
        </w:rPr>
        <w:t>季度中国占世界新能源车</w:t>
      </w:r>
      <w:r w:rsidRPr="008C0B37">
        <w:rPr>
          <w:rFonts w:ascii="Calibri" w:eastAsia="宋体" w:hAnsi="Calibri" w:cs="Times New Roman"/>
          <w:szCs w:val="21"/>
        </w:rPr>
        <w:t>57%</w:t>
      </w:r>
      <w:r w:rsidR="00BB5C8A">
        <w:rPr>
          <w:rFonts w:ascii="Calibri" w:eastAsia="宋体" w:hAnsi="Calibri" w:cs="Times New Roman" w:hint="eastAsia"/>
          <w:szCs w:val="21"/>
        </w:rPr>
        <w:t>份额</w:t>
      </w:r>
      <w:r w:rsidRPr="008C0B37">
        <w:rPr>
          <w:rFonts w:ascii="Calibri" w:eastAsia="宋体" w:hAnsi="Calibri" w:cs="Times New Roman"/>
          <w:szCs w:val="21"/>
        </w:rPr>
        <w:t>，由于欧洲疫情下</w:t>
      </w:r>
      <w:r w:rsidR="00BB5C8A">
        <w:rPr>
          <w:rFonts w:ascii="Calibri" w:eastAsia="宋体" w:hAnsi="Calibri" w:cs="Times New Roman" w:hint="eastAsia"/>
          <w:szCs w:val="21"/>
        </w:rPr>
        <w:t>市场</w:t>
      </w:r>
      <w:r w:rsidRPr="008C0B37">
        <w:rPr>
          <w:rFonts w:ascii="Calibri" w:eastAsia="宋体" w:hAnsi="Calibri" w:cs="Times New Roman"/>
          <w:szCs w:val="21"/>
        </w:rPr>
        <w:t>低迷，</w:t>
      </w:r>
      <w:r w:rsidRPr="008C0B37">
        <w:rPr>
          <w:rFonts w:ascii="Calibri" w:eastAsia="宋体" w:hAnsi="Calibri" w:cs="Times New Roman"/>
          <w:szCs w:val="21"/>
        </w:rPr>
        <w:t>10</w:t>
      </w:r>
      <w:r w:rsidRPr="008C0B37">
        <w:rPr>
          <w:rFonts w:ascii="Calibri" w:eastAsia="宋体" w:hAnsi="Calibri" w:cs="Times New Roman"/>
          <w:szCs w:val="21"/>
        </w:rPr>
        <w:t>月中国的世界地位回归高位水平。中国带动世界增量主要是中国新能源车市场转向市场化推动，形成较强的内生增长动力。</w:t>
      </w:r>
    </w:p>
    <w:p w14:paraId="164FBFF1" w14:textId="77777777" w:rsidR="00EE3133" w:rsidRPr="002009FE" w:rsidRDefault="00EE3133" w:rsidP="008C0B37">
      <w:pPr>
        <w:ind w:firstLineChars="270" w:firstLine="567"/>
        <w:rPr>
          <w:rFonts w:ascii="Calibri" w:eastAsia="宋体" w:hAnsi="Calibri" w:cs="Times New Roman"/>
          <w:szCs w:val="21"/>
        </w:rPr>
      </w:pPr>
    </w:p>
    <w:p w14:paraId="3505820F" w14:textId="74DB5AC1" w:rsidR="0048057D" w:rsidRPr="002009FE" w:rsidRDefault="004B3483" w:rsidP="0048057D">
      <w:pPr>
        <w:numPr>
          <w:ilvl w:val="0"/>
          <w:numId w:val="2"/>
        </w:numPr>
        <w:outlineLvl w:val="1"/>
        <w:rPr>
          <w:rFonts w:ascii="黑体" w:eastAsia="黑体" w:hAnsi="黑体" w:cs="Times New Roman"/>
          <w:bCs/>
          <w:sz w:val="24"/>
        </w:rPr>
      </w:pPr>
      <w:r>
        <w:rPr>
          <w:rFonts w:ascii="黑体" w:eastAsia="黑体" w:hAnsi="黑体" w:cs="Times New Roman" w:hint="eastAsia"/>
          <w:bCs/>
          <w:sz w:val="24"/>
        </w:rPr>
        <w:t>1-</w:t>
      </w:r>
      <w:r>
        <w:rPr>
          <w:rFonts w:ascii="黑体" w:eastAsia="黑体" w:hAnsi="黑体" w:cs="Times New Roman"/>
          <w:bCs/>
          <w:sz w:val="24"/>
        </w:rPr>
        <w:t>10</w:t>
      </w:r>
      <w:r>
        <w:rPr>
          <w:rFonts w:ascii="黑体" w:eastAsia="黑体" w:hAnsi="黑体" w:cs="Times New Roman" w:hint="eastAsia"/>
          <w:bCs/>
          <w:sz w:val="24"/>
        </w:rPr>
        <w:t>月中国进口车7</w:t>
      </w:r>
      <w:r>
        <w:rPr>
          <w:rFonts w:ascii="黑体" w:eastAsia="黑体" w:hAnsi="黑体" w:cs="Times New Roman"/>
          <w:bCs/>
          <w:sz w:val="24"/>
        </w:rPr>
        <w:t>9</w:t>
      </w:r>
      <w:r w:rsidR="0074201D">
        <w:rPr>
          <w:rFonts w:ascii="黑体" w:eastAsia="黑体" w:hAnsi="黑体" w:cs="Times New Roman" w:hint="eastAsia"/>
          <w:bCs/>
          <w:sz w:val="24"/>
        </w:rPr>
        <w:t>万辆</w:t>
      </w:r>
      <w:r>
        <w:rPr>
          <w:rFonts w:ascii="黑体" w:eastAsia="黑体" w:hAnsi="黑体" w:cs="Times New Roman" w:hint="eastAsia"/>
          <w:bCs/>
          <w:sz w:val="24"/>
        </w:rPr>
        <w:t>增1</w:t>
      </w:r>
      <w:r>
        <w:rPr>
          <w:rFonts w:ascii="黑体" w:eastAsia="黑体" w:hAnsi="黑体" w:cs="Times New Roman"/>
          <w:bCs/>
          <w:sz w:val="24"/>
        </w:rPr>
        <w:t>2</w:t>
      </w:r>
      <w:r>
        <w:rPr>
          <w:rFonts w:ascii="黑体" w:eastAsia="黑体" w:hAnsi="黑体" w:cs="Times New Roman" w:hint="eastAsia"/>
          <w:bCs/>
          <w:sz w:val="24"/>
        </w:rPr>
        <w:t>%</w:t>
      </w:r>
    </w:p>
    <w:p w14:paraId="6EB089FE" w14:textId="77777777" w:rsidR="00BB5C8A" w:rsidRDefault="004B3483" w:rsidP="00BB5C8A">
      <w:pPr>
        <w:ind w:firstLineChars="200" w:firstLine="420"/>
        <w:rPr>
          <w:rFonts w:ascii="Calibri" w:eastAsia="宋体" w:hAnsi="Calibri" w:cs="Times New Roman"/>
          <w:szCs w:val="21"/>
        </w:rPr>
      </w:pPr>
      <w:r w:rsidRPr="004B3483">
        <w:rPr>
          <w:rFonts w:ascii="Calibri" w:eastAsia="宋体" w:hAnsi="Calibri" w:cs="Times New Roman" w:hint="eastAsia"/>
          <w:szCs w:val="21"/>
        </w:rPr>
        <w:t>虽然国内豪华车市场持续走强，但中国进口车</w:t>
      </w:r>
      <w:r w:rsidR="00BB5C8A">
        <w:rPr>
          <w:rFonts w:ascii="Calibri" w:eastAsia="宋体" w:hAnsi="Calibri" w:cs="Times New Roman" w:hint="eastAsia"/>
          <w:szCs w:val="21"/>
        </w:rPr>
        <w:t>的</w:t>
      </w:r>
      <w:r w:rsidRPr="004B3483">
        <w:rPr>
          <w:rFonts w:ascii="Calibri" w:eastAsia="宋体" w:hAnsi="Calibri" w:cs="Times New Roman" w:hint="eastAsia"/>
          <w:szCs w:val="21"/>
        </w:rPr>
        <w:t>进口量从</w:t>
      </w:r>
      <w:r w:rsidRPr="004B3483">
        <w:rPr>
          <w:rFonts w:ascii="Calibri" w:eastAsia="宋体" w:hAnsi="Calibri" w:cs="Times New Roman"/>
          <w:szCs w:val="21"/>
        </w:rPr>
        <w:t>2017</w:t>
      </w:r>
      <w:r w:rsidRPr="004B3483">
        <w:rPr>
          <w:rFonts w:ascii="Calibri" w:eastAsia="宋体" w:hAnsi="Calibri" w:cs="Times New Roman"/>
          <w:szCs w:val="21"/>
        </w:rPr>
        <w:t>年以来持续</w:t>
      </w:r>
      <w:r w:rsidRPr="004B3483">
        <w:rPr>
          <w:rFonts w:ascii="Calibri" w:eastAsia="宋体" w:hAnsi="Calibri" w:cs="Times New Roman"/>
          <w:szCs w:val="21"/>
        </w:rPr>
        <w:t>10%</w:t>
      </w:r>
      <w:r w:rsidRPr="004B3483">
        <w:rPr>
          <w:rFonts w:ascii="Calibri" w:eastAsia="宋体" w:hAnsi="Calibri" w:cs="Times New Roman"/>
          <w:szCs w:val="21"/>
        </w:rPr>
        <w:t>左右下行，</w:t>
      </w:r>
      <w:r w:rsidRPr="004B3483">
        <w:rPr>
          <w:rFonts w:ascii="Calibri" w:eastAsia="宋体" w:hAnsi="Calibri" w:cs="Times New Roman"/>
          <w:szCs w:val="21"/>
        </w:rPr>
        <w:t>2021</w:t>
      </w:r>
      <w:r w:rsidRPr="004B3483">
        <w:rPr>
          <w:rFonts w:ascii="Calibri" w:eastAsia="宋体" w:hAnsi="Calibri" w:cs="Times New Roman"/>
          <w:szCs w:val="21"/>
        </w:rPr>
        <w:t>年的进口车市场受到低基数和市场需求回暖刺激而走强。</w:t>
      </w:r>
      <w:r w:rsidRPr="004B3483">
        <w:rPr>
          <w:rFonts w:ascii="Calibri" w:eastAsia="宋体" w:hAnsi="Calibri" w:cs="Times New Roman"/>
          <w:szCs w:val="21"/>
        </w:rPr>
        <w:t>1-10</w:t>
      </w:r>
      <w:r w:rsidRPr="004B3483">
        <w:rPr>
          <w:rFonts w:ascii="Calibri" w:eastAsia="宋体" w:hAnsi="Calibri" w:cs="Times New Roman"/>
          <w:szCs w:val="21"/>
        </w:rPr>
        <w:t>月进口量</w:t>
      </w:r>
      <w:r w:rsidRPr="004B3483">
        <w:rPr>
          <w:rFonts w:ascii="Calibri" w:eastAsia="宋体" w:hAnsi="Calibri" w:cs="Times New Roman"/>
          <w:szCs w:val="21"/>
        </w:rPr>
        <w:t>79</w:t>
      </w:r>
      <w:r w:rsidR="0074201D">
        <w:rPr>
          <w:rFonts w:ascii="Calibri" w:eastAsia="宋体" w:hAnsi="Calibri" w:cs="Times New Roman"/>
          <w:szCs w:val="21"/>
        </w:rPr>
        <w:t>万辆</w:t>
      </w:r>
      <w:r w:rsidRPr="004B3483">
        <w:rPr>
          <w:rFonts w:ascii="Calibri" w:eastAsia="宋体" w:hAnsi="Calibri" w:cs="Times New Roman"/>
          <w:szCs w:val="21"/>
        </w:rPr>
        <w:t>，同比增</w:t>
      </w:r>
      <w:r w:rsidRPr="004B3483">
        <w:rPr>
          <w:rFonts w:ascii="Calibri" w:eastAsia="宋体" w:hAnsi="Calibri" w:cs="Times New Roman"/>
          <w:szCs w:val="21"/>
        </w:rPr>
        <w:t>12%</w:t>
      </w:r>
      <w:r w:rsidRPr="004B3483">
        <w:rPr>
          <w:rFonts w:ascii="Calibri" w:eastAsia="宋体" w:hAnsi="Calibri" w:cs="Times New Roman"/>
          <w:szCs w:val="21"/>
        </w:rPr>
        <w:t>。</w:t>
      </w:r>
    </w:p>
    <w:p w14:paraId="5E85A4D2" w14:textId="4437875C" w:rsidR="0048057D" w:rsidRDefault="004B3483" w:rsidP="00BB5C8A">
      <w:pPr>
        <w:ind w:firstLineChars="200" w:firstLine="420"/>
        <w:rPr>
          <w:rFonts w:ascii="Calibri" w:eastAsia="宋体" w:hAnsi="Calibri" w:cs="Times New Roman"/>
          <w:szCs w:val="21"/>
        </w:rPr>
      </w:pPr>
      <w:r>
        <w:rPr>
          <w:rFonts w:ascii="Calibri" w:eastAsia="宋体" w:hAnsi="Calibri" w:cs="Times New Roman" w:hint="eastAsia"/>
          <w:szCs w:val="21"/>
        </w:rPr>
        <w:t>中国</w:t>
      </w:r>
      <w:r w:rsidRPr="004B3483">
        <w:rPr>
          <w:rFonts w:ascii="Calibri" w:eastAsia="宋体" w:hAnsi="Calibri" w:cs="Times New Roman"/>
          <w:szCs w:val="21"/>
        </w:rPr>
        <w:t>进口市场增长的核心动力仍然是乘用车的消费升级</w:t>
      </w:r>
      <w:r w:rsidR="00BB5C8A">
        <w:rPr>
          <w:rFonts w:ascii="Calibri" w:eastAsia="宋体" w:hAnsi="Calibri" w:cs="Times New Roman" w:hint="eastAsia"/>
          <w:szCs w:val="21"/>
        </w:rPr>
        <w:t>带来的</w:t>
      </w:r>
      <w:r w:rsidRPr="004B3483">
        <w:rPr>
          <w:rFonts w:ascii="Calibri" w:eastAsia="宋体" w:hAnsi="Calibri" w:cs="Times New Roman"/>
          <w:szCs w:val="21"/>
        </w:rPr>
        <w:t>增长空间，豪华车与进口车的走势总体是很好的。今年</w:t>
      </w:r>
      <w:r w:rsidRPr="004B3483">
        <w:rPr>
          <w:rFonts w:ascii="Calibri" w:eastAsia="宋体" w:hAnsi="Calibri" w:cs="Times New Roman"/>
          <w:szCs w:val="21"/>
        </w:rPr>
        <w:t>1-10</w:t>
      </w:r>
      <w:r w:rsidRPr="004B3483">
        <w:rPr>
          <w:rFonts w:ascii="Calibri" w:eastAsia="宋体" w:hAnsi="Calibri" w:cs="Times New Roman"/>
          <w:szCs w:val="21"/>
        </w:rPr>
        <w:t>月的奔驰保持豪华车第一，宝马、奥迪仍保持前三强的地位，雷克萨斯成为第四位，而特斯拉、凯迪拉克走势也较好。</w:t>
      </w:r>
    </w:p>
    <w:p w14:paraId="0BEE9FF6" w14:textId="77777777" w:rsidR="004B3483" w:rsidRPr="004B3483" w:rsidRDefault="004B3483" w:rsidP="004B3483">
      <w:pPr>
        <w:ind w:firstLineChars="270" w:firstLine="567"/>
        <w:rPr>
          <w:rFonts w:ascii="Calibri" w:eastAsia="宋体" w:hAnsi="Calibri" w:cs="Times New Roman"/>
          <w:szCs w:val="21"/>
        </w:rPr>
      </w:pPr>
    </w:p>
    <w:p w14:paraId="4810E8E6" w14:textId="2BE343DE" w:rsidR="0048057D" w:rsidRPr="002009FE" w:rsidRDefault="004B3483" w:rsidP="0048057D">
      <w:pPr>
        <w:numPr>
          <w:ilvl w:val="0"/>
          <w:numId w:val="2"/>
        </w:numPr>
        <w:outlineLvl w:val="1"/>
        <w:rPr>
          <w:rFonts w:ascii="黑体" w:eastAsia="黑体" w:hAnsi="黑体" w:cs="黑体"/>
          <w:bCs/>
          <w:sz w:val="24"/>
        </w:rPr>
      </w:pPr>
      <w:r w:rsidRPr="004B3483">
        <w:rPr>
          <w:rFonts w:ascii="黑体" w:eastAsia="黑体" w:hAnsi="黑体" w:cs="黑体"/>
          <w:bCs/>
          <w:sz w:val="24"/>
        </w:rPr>
        <w:t>2021年1-10月中国汽车出口</w:t>
      </w:r>
      <w:r>
        <w:rPr>
          <w:rFonts w:ascii="黑体" w:eastAsia="黑体" w:hAnsi="黑体" w:cs="黑体" w:hint="eastAsia"/>
          <w:bCs/>
          <w:sz w:val="24"/>
        </w:rPr>
        <w:t>1</w:t>
      </w:r>
      <w:r>
        <w:rPr>
          <w:rFonts w:ascii="黑体" w:eastAsia="黑体" w:hAnsi="黑体" w:cs="黑体"/>
          <w:bCs/>
          <w:sz w:val="24"/>
        </w:rPr>
        <w:t>73</w:t>
      </w:r>
      <w:r w:rsidR="0074201D">
        <w:rPr>
          <w:rFonts w:ascii="黑体" w:eastAsia="黑体" w:hAnsi="黑体" w:cs="黑体" w:hint="eastAsia"/>
          <w:bCs/>
          <w:sz w:val="24"/>
        </w:rPr>
        <w:t>万辆</w:t>
      </w:r>
      <w:r>
        <w:rPr>
          <w:rFonts w:ascii="黑体" w:eastAsia="黑体" w:hAnsi="黑体" w:cs="黑体" w:hint="eastAsia"/>
          <w:bCs/>
          <w:sz w:val="24"/>
        </w:rPr>
        <w:t>增1</w:t>
      </w:r>
      <w:r>
        <w:rPr>
          <w:rFonts w:ascii="黑体" w:eastAsia="黑体" w:hAnsi="黑体" w:cs="黑体"/>
          <w:bCs/>
          <w:sz w:val="24"/>
        </w:rPr>
        <w:t>13</w:t>
      </w:r>
      <w:r>
        <w:rPr>
          <w:rFonts w:ascii="黑体" w:eastAsia="黑体" w:hAnsi="黑体" w:cs="黑体" w:hint="eastAsia"/>
          <w:bCs/>
          <w:sz w:val="24"/>
        </w:rPr>
        <w:t>%，全年有望突破2</w:t>
      </w:r>
      <w:r>
        <w:rPr>
          <w:rFonts w:ascii="黑体" w:eastAsia="黑体" w:hAnsi="黑体" w:cs="黑体"/>
          <w:bCs/>
          <w:sz w:val="24"/>
        </w:rPr>
        <w:t>10</w:t>
      </w:r>
      <w:r w:rsidR="0074201D">
        <w:rPr>
          <w:rFonts w:ascii="黑体" w:eastAsia="黑体" w:hAnsi="黑体" w:cs="黑体" w:hint="eastAsia"/>
          <w:bCs/>
          <w:sz w:val="24"/>
        </w:rPr>
        <w:t>万辆</w:t>
      </w:r>
    </w:p>
    <w:p w14:paraId="59DD9D30" w14:textId="77777777" w:rsidR="00E66D0D" w:rsidRDefault="004B3483" w:rsidP="00E66D0D">
      <w:pPr>
        <w:ind w:firstLineChars="200" w:firstLine="420"/>
        <w:rPr>
          <w:rFonts w:ascii="Calibri" w:eastAsia="宋体" w:hAnsi="Calibri" w:cs="Times New Roman"/>
          <w:szCs w:val="21"/>
        </w:rPr>
      </w:pPr>
      <w:r w:rsidRPr="00EE3133">
        <w:rPr>
          <w:rFonts w:ascii="Calibri" w:eastAsia="宋体" w:hAnsi="Calibri" w:cs="Times New Roman" w:hint="eastAsia"/>
          <w:szCs w:val="21"/>
        </w:rPr>
        <w:t>自</w:t>
      </w:r>
      <w:r w:rsidRPr="00EE3133">
        <w:rPr>
          <w:rFonts w:ascii="Calibri" w:eastAsia="宋体" w:hAnsi="Calibri" w:cs="Times New Roman"/>
          <w:szCs w:val="21"/>
        </w:rPr>
        <w:t>2017</w:t>
      </w:r>
      <w:r w:rsidRPr="00EE3133">
        <w:rPr>
          <w:rFonts w:ascii="Calibri" w:eastAsia="宋体" w:hAnsi="Calibri" w:cs="Times New Roman"/>
          <w:szCs w:val="21"/>
        </w:rPr>
        <w:t>年以来，中国汽车出口市场表现相对较强，</w:t>
      </w:r>
      <w:r w:rsidRPr="00EE3133">
        <w:rPr>
          <w:rFonts w:ascii="Calibri" w:eastAsia="宋体" w:hAnsi="Calibri" w:cs="Times New Roman"/>
          <w:szCs w:val="21"/>
        </w:rPr>
        <w:t>2018</w:t>
      </w:r>
      <w:r w:rsidRPr="00EE3133">
        <w:rPr>
          <w:rFonts w:ascii="Calibri" w:eastAsia="宋体" w:hAnsi="Calibri" w:cs="Times New Roman"/>
          <w:szCs w:val="21"/>
        </w:rPr>
        <w:t>年和</w:t>
      </w:r>
      <w:r w:rsidRPr="00EE3133">
        <w:rPr>
          <w:rFonts w:ascii="Calibri" w:eastAsia="宋体" w:hAnsi="Calibri" w:cs="Times New Roman"/>
          <w:szCs w:val="21"/>
        </w:rPr>
        <w:t>2019</w:t>
      </w:r>
      <w:r w:rsidRPr="00EE3133">
        <w:rPr>
          <w:rFonts w:ascii="Calibri" w:eastAsia="宋体" w:hAnsi="Calibri" w:cs="Times New Roman"/>
          <w:szCs w:val="21"/>
        </w:rPr>
        <w:t>年中国汽车出口都出现</w:t>
      </w:r>
      <w:r w:rsidRPr="00EE3133">
        <w:rPr>
          <w:rFonts w:ascii="Calibri" w:eastAsia="宋体" w:hAnsi="Calibri" w:cs="Times New Roman"/>
          <w:szCs w:val="21"/>
        </w:rPr>
        <w:t>6%</w:t>
      </w:r>
      <w:r w:rsidRPr="00EE3133">
        <w:rPr>
          <w:rFonts w:ascii="Calibri" w:eastAsia="宋体" w:hAnsi="Calibri" w:cs="Times New Roman"/>
          <w:szCs w:val="21"/>
        </w:rPr>
        <w:t>的正增长，</w:t>
      </w:r>
      <w:r w:rsidRPr="00EE3133">
        <w:rPr>
          <w:rFonts w:ascii="Calibri" w:eastAsia="宋体" w:hAnsi="Calibri" w:cs="Times New Roman"/>
          <w:szCs w:val="21"/>
        </w:rPr>
        <w:t>2020</w:t>
      </w:r>
      <w:r w:rsidRPr="00EE3133">
        <w:rPr>
          <w:rFonts w:ascii="Calibri" w:eastAsia="宋体" w:hAnsi="Calibri" w:cs="Times New Roman"/>
          <w:szCs w:val="21"/>
        </w:rPr>
        <w:t>年汽车出口下滑有</w:t>
      </w:r>
      <w:r w:rsidRPr="00EE3133">
        <w:rPr>
          <w:rFonts w:ascii="Calibri" w:eastAsia="宋体" w:hAnsi="Calibri" w:cs="Times New Roman"/>
          <w:szCs w:val="21"/>
        </w:rPr>
        <w:t>13%</w:t>
      </w:r>
      <w:r w:rsidRPr="00EE3133">
        <w:rPr>
          <w:rFonts w:ascii="Calibri" w:eastAsia="宋体" w:hAnsi="Calibri" w:cs="Times New Roman"/>
          <w:szCs w:val="21"/>
        </w:rPr>
        <w:t>，</w:t>
      </w:r>
      <w:r w:rsidRPr="00EE3133">
        <w:rPr>
          <w:rFonts w:ascii="Calibri" w:eastAsia="宋体" w:hAnsi="Calibri" w:cs="Times New Roman"/>
          <w:szCs w:val="21"/>
        </w:rPr>
        <w:t>2021</w:t>
      </w:r>
      <w:r w:rsidRPr="00EE3133">
        <w:rPr>
          <w:rFonts w:ascii="Calibri" w:eastAsia="宋体" w:hAnsi="Calibri" w:cs="Times New Roman"/>
          <w:szCs w:val="21"/>
        </w:rPr>
        <w:t>年</w:t>
      </w:r>
      <w:r w:rsidRPr="00EE3133">
        <w:rPr>
          <w:rFonts w:ascii="Calibri" w:eastAsia="宋体" w:hAnsi="Calibri" w:cs="Times New Roman"/>
          <w:szCs w:val="21"/>
        </w:rPr>
        <w:t>10</w:t>
      </w:r>
      <w:r w:rsidRPr="00EE3133">
        <w:rPr>
          <w:rFonts w:ascii="Calibri" w:eastAsia="宋体" w:hAnsi="Calibri" w:cs="Times New Roman"/>
          <w:szCs w:val="21"/>
        </w:rPr>
        <w:t>月汽车出口市场销量</w:t>
      </w:r>
      <w:r w:rsidRPr="00EE3133">
        <w:rPr>
          <w:rFonts w:ascii="Calibri" w:eastAsia="宋体" w:hAnsi="Calibri" w:cs="Times New Roman"/>
          <w:szCs w:val="21"/>
        </w:rPr>
        <w:t>22.31</w:t>
      </w:r>
      <w:r w:rsidR="0074201D">
        <w:rPr>
          <w:rFonts w:ascii="Calibri" w:eastAsia="宋体" w:hAnsi="Calibri" w:cs="Times New Roman"/>
          <w:szCs w:val="21"/>
        </w:rPr>
        <w:t>万辆</w:t>
      </w:r>
      <w:r w:rsidRPr="00EE3133">
        <w:rPr>
          <w:rFonts w:ascii="Calibri" w:eastAsia="宋体" w:hAnsi="Calibri" w:cs="Times New Roman"/>
          <w:szCs w:val="21"/>
        </w:rPr>
        <w:t>，同比增长</w:t>
      </w:r>
      <w:r w:rsidRPr="00EE3133">
        <w:rPr>
          <w:rFonts w:ascii="Calibri" w:eastAsia="宋体" w:hAnsi="Calibri" w:cs="Times New Roman"/>
          <w:szCs w:val="21"/>
        </w:rPr>
        <w:t>94%</w:t>
      </w:r>
      <w:r w:rsidR="00E66D0D">
        <w:rPr>
          <w:rFonts w:ascii="Calibri" w:eastAsia="宋体" w:hAnsi="Calibri" w:cs="Times New Roman" w:hint="eastAsia"/>
          <w:szCs w:val="21"/>
        </w:rPr>
        <w:t>。</w:t>
      </w:r>
      <w:r w:rsidRPr="00EE3133">
        <w:rPr>
          <w:rFonts w:ascii="Calibri" w:eastAsia="宋体" w:hAnsi="Calibri" w:cs="Times New Roman"/>
          <w:szCs w:val="21"/>
        </w:rPr>
        <w:t>2021</w:t>
      </w:r>
      <w:r w:rsidRPr="00EE3133">
        <w:rPr>
          <w:rFonts w:ascii="Calibri" w:eastAsia="宋体" w:hAnsi="Calibri" w:cs="Times New Roman"/>
          <w:szCs w:val="21"/>
        </w:rPr>
        <w:t>年的汽车出口市场销量</w:t>
      </w:r>
      <w:r w:rsidRPr="00EE3133">
        <w:rPr>
          <w:rFonts w:ascii="Calibri" w:eastAsia="宋体" w:hAnsi="Calibri" w:cs="Times New Roman"/>
          <w:szCs w:val="21"/>
        </w:rPr>
        <w:t>173</w:t>
      </w:r>
      <w:r w:rsidR="0074201D">
        <w:rPr>
          <w:rFonts w:ascii="Calibri" w:eastAsia="宋体" w:hAnsi="Calibri" w:cs="Times New Roman"/>
          <w:szCs w:val="21"/>
        </w:rPr>
        <w:t>万辆</w:t>
      </w:r>
      <w:r w:rsidRPr="00EE3133">
        <w:rPr>
          <w:rFonts w:ascii="Calibri" w:eastAsia="宋体" w:hAnsi="Calibri" w:cs="Times New Roman"/>
          <w:szCs w:val="21"/>
        </w:rPr>
        <w:t>，同比增长</w:t>
      </w:r>
      <w:r w:rsidRPr="00EE3133">
        <w:rPr>
          <w:rFonts w:ascii="Calibri" w:eastAsia="宋体" w:hAnsi="Calibri" w:cs="Times New Roman"/>
          <w:szCs w:val="21"/>
        </w:rPr>
        <w:t>1.1</w:t>
      </w:r>
      <w:r w:rsidRPr="00EE3133">
        <w:rPr>
          <w:rFonts w:ascii="Calibri" w:eastAsia="宋体" w:hAnsi="Calibri" w:cs="Times New Roman"/>
          <w:szCs w:val="21"/>
        </w:rPr>
        <w:t>倍。去年</w:t>
      </w:r>
      <w:r w:rsidRPr="00EE3133">
        <w:rPr>
          <w:rFonts w:ascii="Calibri" w:eastAsia="宋体" w:hAnsi="Calibri" w:cs="Times New Roman"/>
          <w:szCs w:val="21"/>
        </w:rPr>
        <w:t>11-12</w:t>
      </w:r>
      <w:r w:rsidRPr="00EE3133">
        <w:rPr>
          <w:rFonts w:ascii="Calibri" w:eastAsia="宋体" w:hAnsi="Calibri" w:cs="Times New Roman"/>
          <w:szCs w:val="21"/>
        </w:rPr>
        <w:t>月的出口市场销量</w:t>
      </w:r>
      <w:r w:rsidRPr="00EE3133">
        <w:rPr>
          <w:rFonts w:ascii="Calibri" w:eastAsia="宋体" w:hAnsi="Calibri" w:cs="Times New Roman"/>
          <w:szCs w:val="21"/>
        </w:rPr>
        <w:t>25</w:t>
      </w:r>
      <w:r w:rsidR="0074201D">
        <w:rPr>
          <w:rFonts w:ascii="Calibri" w:eastAsia="宋体" w:hAnsi="Calibri" w:cs="Times New Roman"/>
          <w:szCs w:val="21"/>
        </w:rPr>
        <w:t>万辆</w:t>
      </w:r>
      <w:r w:rsidRPr="00EE3133">
        <w:rPr>
          <w:rFonts w:ascii="Calibri" w:eastAsia="宋体" w:hAnsi="Calibri" w:cs="Times New Roman"/>
          <w:szCs w:val="21"/>
        </w:rPr>
        <w:t>，同比增长</w:t>
      </w:r>
      <w:r w:rsidRPr="00EE3133">
        <w:rPr>
          <w:rFonts w:ascii="Calibri" w:eastAsia="宋体" w:hAnsi="Calibri" w:cs="Times New Roman"/>
          <w:szCs w:val="21"/>
        </w:rPr>
        <w:t>12%</w:t>
      </w:r>
      <w:r w:rsidRPr="00EE3133">
        <w:rPr>
          <w:rFonts w:ascii="Calibri" w:eastAsia="宋体" w:hAnsi="Calibri" w:cs="Times New Roman"/>
          <w:szCs w:val="21"/>
        </w:rPr>
        <w:t>，表现不强，也使今年的年末依旧</w:t>
      </w:r>
      <w:r w:rsidR="00E66D0D">
        <w:rPr>
          <w:rFonts w:ascii="Calibri" w:eastAsia="宋体" w:hAnsi="Calibri" w:cs="Times New Roman" w:hint="eastAsia"/>
          <w:szCs w:val="21"/>
        </w:rPr>
        <w:t>保持</w:t>
      </w:r>
      <w:r w:rsidRPr="00EE3133">
        <w:rPr>
          <w:rFonts w:ascii="Calibri" w:eastAsia="宋体" w:hAnsi="Calibri" w:cs="Times New Roman"/>
          <w:szCs w:val="21"/>
        </w:rPr>
        <w:t>超强增速</w:t>
      </w:r>
      <w:r w:rsidRPr="00EE3133">
        <w:rPr>
          <w:rFonts w:ascii="Calibri" w:eastAsia="宋体" w:hAnsi="Calibri" w:cs="Times New Roman" w:hint="eastAsia"/>
          <w:szCs w:val="21"/>
        </w:rPr>
        <w:t>，</w:t>
      </w:r>
      <w:r w:rsidRPr="00EE3133">
        <w:rPr>
          <w:rFonts w:ascii="Calibri" w:eastAsia="宋体" w:hAnsi="Calibri" w:cs="Times New Roman" w:hint="eastAsia"/>
          <w:szCs w:val="21"/>
        </w:rPr>
        <w:t>2</w:t>
      </w:r>
      <w:r w:rsidRPr="00EE3133">
        <w:rPr>
          <w:rFonts w:ascii="Calibri" w:eastAsia="宋体" w:hAnsi="Calibri" w:cs="Times New Roman"/>
          <w:szCs w:val="21"/>
        </w:rPr>
        <w:t>021</w:t>
      </w:r>
      <w:r w:rsidRPr="00EE3133">
        <w:rPr>
          <w:rFonts w:ascii="Calibri" w:eastAsia="宋体" w:hAnsi="Calibri" w:cs="Times New Roman" w:hint="eastAsia"/>
          <w:szCs w:val="21"/>
        </w:rPr>
        <w:t>年全年出口有望突破</w:t>
      </w:r>
      <w:r w:rsidRPr="00EE3133">
        <w:rPr>
          <w:rFonts w:ascii="Calibri" w:eastAsia="宋体" w:hAnsi="Calibri" w:cs="Times New Roman" w:hint="eastAsia"/>
          <w:szCs w:val="21"/>
        </w:rPr>
        <w:t>2</w:t>
      </w:r>
      <w:r w:rsidRPr="00EE3133">
        <w:rPr>
          <w:rFonts w:ascii="Calibri" w:eastAsia="宋体" w:hAnsi="Calibri" w:cs="Times New Roman"/>
          <w:szCs w:val="21"/>
        </w:rPr>
        <w:t>10</w:t>
      </w:r>
      <w:r w:rsidR="0074201D">
        <w:rPr>
          <w:rFonts w:ascii="Calibri" w:eastAsia="宋体" w:hAnsi="Calibri" w:cs="Times New Roman" w:hint="eastAsia"/>
          <w:szCs w:val="21"/>
        </w:rPr>
        <w:t>万辆</w:t>
      </w:r>
      <w:r w:rsidRPr="00EE3133">
        <w:rPr>
          <w:rFonts w:ascii="Calibri" w:eastAsia="宋体" w:hAnsi="Calibri" w:cs="Times New Roman"/>
          <w:szCs w:val="21"/>
        </w:rPr>
        <w:t>。中国新能源车出口</w:t>
      </w:r>
      <w:r w:rsidRPr="00EE3133">
        <w:rPr>
          <w:rFonts w:ascii="Calibri" w:eastAsia="宋体" w:hAnsi="Calibri" w:cs="Times New Roman"/>
          <w:szCs w:val="21"/>
        </w:rPr>
        <w:t>45.7</w:t>
      </w:r>
      <w:r w:rsidR="0074201D">
        <w:rPr>
          <w:rFonts w:ascii="Calibri" w:eastAsia="宋体" w:hAnsi="Calibri" w:cs="Times New Roman"/>
          <w:szCs w:val="21"/>
        </w:rPr>
        <w:t>万辆</w:t>
      </w:r>
      <w:r w:rsidRPr="00EE3133">
        <w:rPr>
          <w:rFonts w:ascii="Calibri" w:eastAsia="宋体" w:hAnsi="Calibri" w:cs="Times New Roman"/>
          <w:szCs w:val="21"/>
        </w:rPr>
        <w:t>，市场</w:t>
      </w:r>
      <w:r w:rsidR="00E66D0D">
        <w:rPr>
          <w:rFonts w:ascii="Calibri" w:eastAsia="宋体" w:hAnsi="Calibri" w:cs="Times New Roman" w:hint="eastAsia"/>
          <w:szCs w:val="21"/>
        </w:rPr>
        <w:t>增长</w:t>
      </w:r>
      <w:r w:rsidRPr="00EE3133">
        <w:rPr>
          <w:rFonts w:ascii="Calibri" w:eastAsia="宋体" w:hAnsi="Calibri" w:cs="Times New Roman"/>
          <w:szCs w:val="21"/>
        </w:rPr>
        <w:t>持续走强。</w:t>
      </w:r>
    </w:p>
    <w:p w14:paraId="7CBAC682" w14:textId="77777777" w:rsidR="00E66D0D" w:rsidRDefault="004B3483" w:rsidP="00E66D0D">
      <w:pPr>
        <w:ind w:firstLineChars="200" w:firstLine="420"/>
        <w:rPr>
          <w:rFonts w:ascii="Calibri" w:eastAsia="宋体" w:hAnsi="Calibri" w:cs="Times New Roman"/>
          <w:szCs w:val="21"/>
        </w:rPr>
      </w:pPr>
      <w:r w:rsidRPr="00EE3133">
        <w:rPr>
          <w:rFonts w:ascii="Calibri" w:eastAsia="宋体" w:hAnsi="Calibri" w:cs="Times New Roman" w:hint="eastAsia"/>
          <w:szCs w:val="21"/>
        </w:rPr>
        <w:t>芯片危机带来的中国汽车出口机遇。中国汽车完整的工业产业链带来的供给优势在海外疫情影响下被进一步放大，尤其是芯片短缺对中国汽车出口利好明显，中国自主品牌的乘用车因此出口超强。</w:t>
      </w:r>
    </w:p>
    <w:p w14:paraId="116670C5" w14:textId="77777777" w:rsidR="00E66D0D" w:rsidRDefault="004B3483" w:rsidP="00E66D0D">
      <w:pPr>
        <w:ind w:firstLineChars="200" w:firstLine="420"/>
        <w:rPr>
          <w:rFonts w:ascii="Calibri" w:eastAsia="宋体" w:hAnsi="Calibri" w:cs="Times New Roman"/>
          <w:szCs w:val="21"/>
        </w:rPr>
      </w:pPr>
      <w:r w:rsidRPr="00EE3133">
        <w:rPr>
          <w:rFonts w:ascii="Calibri" w:eastAsia="宋体" w:hAnsi="Calibri" w:cs="Times New Roman" w:hint="eastAsia"/>
          <w:szCs w:val="21"/>
        </w:rPr>
        <w:t>中国汽车出口欧洲市场取得突破，这是中国汽车出口的核心增长点，改变了</w:t>
      </w:r>
      <w:r w:rsidR="00E66D0D">
        <w:rPr>
          <w:rFonts w:ascii="Calibri" w:eastAsia="宋体" w:hAnsi="Calibri" w:cs="Times New Roman" w:hint="eastAsia"/>
          <w:szCs w:val="21"/>
        </w:rPr>
        <w:t>以往</w:t>
      </w:r>
      <w:r w:rsidRPr="00EE3133">
        <w:rPr>
          <w:rFonts w:ascii="Calibri" w:eastAsia="宋体" w:hAnsi="Calibri" w:cs="Times New Roman" w:hint="eastAsia"/>
          <w:szCs w:val="21"/>
        </w:rPr>
        <w:t>依赖亚洲和非洲等部分国家的被动局面。中国新能源车主要是出口西欧，比利时和英国等成为出口亮点，而且对澳大利亚等国出口表现很好。海外虽然仍然受到疫情限制，但经济重启继续进行，相关制造业需求开始平稳恢复，因此中国对智利等出口表现较强。</w:t>
      </w:r>
    </w:p>
    <w:p w14:paraId="2CCBE7BD" w14:textId="0DC249C8" w:rsidR="0048057D" w:rsidRDefault="004B3483" w:rsidP="00E66D0D">
      <w:pPr>
        <w:ind w:firstLineChars="200" w:firstLine="420"/>
        <w:rPr>
          <w:rFonts w:ascii="Calibri" w:eastAsia="宋体" w:hAnsi="Calibri" w:cs="Times New Roman"/>
          <w:szCs w:val="21"/>
        </w:rPr>
      </w:pPr>
      <w:r w:rsidRPr="00EE3133">
        <w:rPr>
          <w:rFonts w:ascii="Calibri" w:eastAsia="宋体" w:hAnsi="Calibri" w:cs="Times New Roman" w:hint="eastAsia"/>
          <w:szCs w:val="21"/>
        </w:rPr>
        <w:t>出口市场增长的核心动力仍然是乘用车的增长空间，尤其是在中东和非洲等国家出口表现相对较强，而欧洲、墨西哥等市场近期较</w:t>
      </w:r>
      <w:r w:rsidR="00E66D0D">
        <w:rPr>
          <w:rFonts w:ascii="Calibri" w:eastAsia="宋体" w:hAnsi="Calibri" w:cs="Times New Roman" w:hint="eastAsia"/>
          <w:szCs w:val="21"/>
        </w:rPr>
        <w:t>好</w:t>
      </w:r>
      <w:r w:rsidRPr="00EE3133">
        <w:rPr>
          <w:rFonts w:ascii="Calibri" w:eastAsia="宋体" w:hAnsi="Calibri" w:cs="Times New Roman" w:hint="eastAsia"/>
          <w:szCs w:val="21"/>
        </w:rPr>
        <w:t>。新能源车出口总体表现较强，虽然新能源低速车出口下降较大，但对欧洲新能源车出口增长迅猛，上汽和特斯拉等表现较强。</w:t>
      </w:r>
    </w:p>
    <w:p w14:paraId="728A9F0F" w14:textId="77777777" w:rsidR="00EE3133" w:rsidRPr="00EE3133" w:rsidRDefault="00EE3133" w:rsidP="004B3483">
      <w:pPr>
        <w:ind w:firstLineChars="270" w:firstLine="567"/>
        <w:rPr>
          <w:rFonts w:ascii="Calibri" w:eastAsia="宋体" w:hAnsi="Calibri" w:cs="Times New Roman"/>
          <w:szCs w:val="21"/>
        </w:rPr>
      </w:pPr>
    </w:p>
    <w:p w14:paraId="258619C0" w14:textId="75337F3A" w:rsidR="0048057D" w:rsidRPr="002009FE" w:rsidRDefault="004B3483" w:rsidP="0048057D">
      <w:pPr>
        <w:numPr>
          <w:ilvl w:val="0"/>
          <w:numId w:val="2"/>
        </w:numPr>
        <w:outlineLvl w:val="1"/>
        <w:rPr>
          <w:rFonts w:ascii="黑体" w:eastAsia="黑体" w:hAnsi="黑体" w:cs="黑体"/>
          <w:bCs/>
          <w:sz w:val="24"/>
        </w:rPr>
      </w:pPr>
      <w:r>
        <w:rPr>
          <w:rFonts w:ascii="黑体" w:eastAsia="黑体" w:hAnsi="黑体" w:cs="黑体" w:hint="eastAsia"/>
          <w:bCs/>
          <w:sz w:val="24"/>
        </w:rPr>
        <w:t>汽车行业1-</w:t>
      </w:r>
      <w:r>
        <w:rPr>
          <w:rFonts w:ascii="黑体" w:eastAsia="黑体" w:hAnsi="黑体" w:cs="黑体"/>
          <w:bCs/>
          <w:sz w:val="24"/>
        </w:rPr>
        <w:t>10</w:t>
      </w:r>
      <w:r>
        <w:rPr>
          <w:rFonts w:ascii="黑体" w:eastAsia="黑体" w:hAnsi="黑体" w:cs="黑体" w:hint="eastAsia"/>
          <w:bCs/>
          <w:sz w:val="24"/>
        </w:rPr>
        <w:t>月利润下滑3%</w:t>
      </w:r>
    </w:p>
    <w:p w14:paraId="7FF03BA6" w14:textId="77777777" w:rsidR="00285B58" w:rsidRPr="00285B58" w:rsidRDefault="00285B58" w:rsidP="00285B58">
      <w:pPr>
        <w:ind w:firstLineChars="200" w:firstLine="420"/>
        <w:rPr>
          <w:rFonts w:ascii="Calibri" w:eastAsia="宋体" w:hAnsi="Calibri" w:cs="Times New Roman"/>
          <w:szCs w:val="21"/>
        </w:rPr>
      </w:pPr>
      <w:r w:rsidRPr="00285B58">
        <w:rPr>
          <w:rFonts w:ascii="Calibri" w:eastAsia="宋体" w:hAnsi="Calibri" w:cs="Times New Roman"/>
          <w:szCs w:val="21"/>
        </w:rPr>
        <w:t>1—10</w:t>
      </w:r>
      <w:r w:rsidRPr="00285B58">
        <w:rPr>
          <w:rFonts w:ascii="Calibri" w:eastAsia="宋体" w:hAnsi="Calibri" w:cs="Times New Roman"/>
          <w:szCs w:val="21"/>
        </w:rPr>
        <w:t>月份，全国规模以上工业企业实现利润总额</w:t>
      </w:r>
      <w:r w:rsidRPr="00285B58">
        <w:rPr>
          <w:rFonts w:ascii="Calibri" w:eastAsia="宋体" w:hAnsi="Calibri" w:cs="Times New Roman"/>
          <w:szCs w:val="21"/>
        </w:rPr>
        <w:t>71649.9</w:t>
      </w:r>
      <w:r w:rsidRPr="00285B58">
        <w:rPr>
          <w:rFonts w:ascii="Calibri" w:eastAsia="宋体" w:hAnsi="Calibri" w:cs="Times New Roman"/>
          <w:szCs w:val="21"/>
        </w:rPr>
        <w:t>亿元，同比增长</w:t>
      </w:r>
      <w:r w:rsidRPr="00285B58">
        <w:rPr>
          <w:rFonts w:ascii="Calibri" w:eastAsia="宋体" w:hAnsi="Calibri" w:cs="Times New Roman"/>
          <w:szCs w:val="21"/>
        </w:rPr>
        <w:t>42.2%</w:t>
      </w:r>
      <w:r w:rsidRPr="00285B58">
        <w:rPr>
          <w:rFonts w:ascii="Calibri" w:eastAsia="宋体" w:hAnsi="Calibri" w:cs="Times New Roman"/>
          <w:szCs w:val="21"/>
        </w:rPr>
        <w:t>，比</w:t>
      </w:r>
      <w:r w:rsidRPr="00285B58">
        <w:rPr>
          <w:rFonts w:ascii="Calibri" w:eastAsia="宋体" w:hAnsi="Calibri" w:cs="Times New Roman"/>
          <w:szCs w:val="21"/>
        </w:rPr>
        <w:t>2019</w:t>
      </w:r>
      <w:r w:rsidRPr="00285B58">
        <w:rPr>
          <w:rFonts w:ascii="Calibri" w:eastAsia="宋体" w:hAnsi="Calibri" w:cs="Times New Roman"/>
          <w:szCs w:val="21"/>
        </w:rPr>
        <w:t>年</w:t>
      </w:r>
      <w:r w:rsidRPr="00285B58">
        <w:rPr>
          <w:rFonts w:ascii="Calibri" w:eastAsia="宋体" w:hAnsi="Calibri" w:cs="Times New Roman"/>
          <w:szCs w:val="21"/>
        </w:rPr>
        <w:t>1—10</w:t>
      </w:r>
      <w:r w:rsidRPr="00285B58">
        <w:rPr>
          <w:rFonts w:ascii="Calibri" w:eastAsia="宋体" w:hAnsi="Calibri" w:cs="Times New Roman"/>
          <w:szCs w:val="21"/>
        </w:rPr>
        <w:t>月份增长</w:t>
      </w:r>
      <w:r w:rsidRPr="00285B58">
        <w:rPr>
          <w:rFonts w:ascii="Calibri" w:eastAsia="宋体" w:hAnsi="Calibri" w:cs="Times New Roman"/>
          <w:szCs w:val="21"/>
        </w:rPr>
        <w:t>43.2%</w:t>
      </w:r>
      <w:r w:rsidRPr="00285B58">
        <w:rPr>
          <w:rFonts w:ascii="Calibri" w:eastAsia="宋体" w:hAnsi="Calibri" w:cs="Times New Roman"/>
          <w:szCs w:val="21"/>
        </w:rPr>
        <w:t>，两年平均增长</w:t>
      </w:r>
      <w:r w:rsidRPr="00285B58">
        <w:rPr>
          <w:rFonts w:ascii="Calibri" w:eastAsia="宋体" w:hAnsi="Calibri" w:cs="Times New Roman"/>
          <w:szCs w:val="21"/>
        </w:rPr>
        <w:t>19.7%</w:t>
      </w:r>
      <w:r w:rsidRPr="00285B58">
        <w:rPr>
          <w:rFonts w:ascii="Calibri" w:eastAsia="宋体" w:hAnsi="Calibri" w:cs="Times New Roman"/>
          <w:szCs w:val="21"/>
        </w:rPr>
        <w:t>。</w:t>
      </w:r>
    </w:p>
    <w:p w14:paraId="3E2D4D09" w14:textId="77777777" w:rsidR="00285B58" w:rsidRPr="00285B58" w:rsidRDefault="00285B58" w:rsidP="00285B58">
      <w:pPr>
        <w:ind w:firstLineChars="200" w:firstLine="420"/>
        <w:rPr>
          <w:rFonts w:ascii="Calibri" w:eastAsia="宋体" w:hAnsi="Calibri" w:cs="Times New Roman"/>
          <w:szCs w:val="21"/>
        </w:rPr>
      </w:pPr>
      <w:r w:rsidRPr="00285B58">
        <w:rPr>
          <w:rFonts w:ascii="Calibri" w:eastAsia="宋体" w:hAnsi="Calibri" w:cs="Times New Roman"/>
          <w:szCs w:val="21"/>
        </w:rPr>
        <w:t>2021</w:t>
      </w:r>
      <w:r w:rsidRPr="00285B58">
        <w:rPr>
          <w:rFonts w:ascii="Calibri" w:eastAsia="宋体" w:hAnsi="Calibri" w:cs="Times New Roman"/>
          <w:szCs w:val="21"/>
        </w:rPr>
        <w:t>年汽车行业利润总体表现较差，</w:t>
      </w:r>
      <w:r w:rsidRPr="00285B58">
        <w:rPr>
          <w:rFonts w:ascii="Calibri" w:eastAsia="宋体" w:hAnsi="Calibri" w:cs="Times New Roman"/>
          <w:szCs w:val="21"/>
        </w:rPr>
        <w:t>1-10</w:t>
      </w:r>
      <w:r w:rsidRPr="00285B58">
        <w:rPr>
          <w:rFonts w:ascii="Calibri" w:eastAsia="宋体" w:hAnsi="Calibri" w:cs="Times New Roman"/>
          <w:szCs w:val="21"/>
        </w:rPr>
        <w:t>月利润总体同比下降</w:t>
      </w:r>
      <w:r w:rsidRPr="00285B58">
        <w:rPr>
          <w:rFonts w:ascii="Calibri" w:eastAsia="宋体" w:hAnsi="Calibri" w:cs="Times New Roman"/>
          <w:szCs w:val="21"/>
        </w:rPr>
        <w:t>3%</w:t>
      </w:r>
      <w:r w:rsidRPr="00285B58">
        <w:rPr>
          <w:rFonts w:ascii="Calibri" w:eastAsia="宋体" w:hAnsi="Calibri" w:cs="Times New Roman"/>
          <w:szCs w:val="21"/>
        </w:rPr>
        <w:t>，相对低于整个工业企业，压力较大。其中</w:t>
      </w:r>
      <w:r w:rsidRPr="00285B58">
        <w:rPr>
          <w:rFonts w:ascii="Calibri" w:eastAsia="宋体" w:hAnsi="Calibri" w:cs="Times New Roman"/>
          <w:szCs w:val="21"/>
        </w:rPr>
        <w:t>10</w:t>
      </w:r>
      <w:r w:rsidRPr="00285B58">
        <w:rPr>
          <w:rFonts w:ascii="Calibri" w:eastAsia="宋体" w:hAnsi="Calibri" w:cs="Times New Roman"/>
          <w:szCs w:val="21"/>
        </w:rPr>
        <w:t>月的收入下降</w:t>
      </w:r>
      <w:r w:rsidRPr="00285B58">
        <w:rPr>
          <w:rFonts w:ascii="Calibri" w:eastAsia="宋体" w:hAnsi="Calibri" w:cs="Times New Roman"/>
          <w:szCs w:val="21"/>
        </w:rPr>
        <w:t>9%</w:t>
      </w:r>
      <w:r w:rsidRPr="00285B58">
        <w:rPr>
          <w:rFonts w:ascii="Calibri" w:eastAsia="宋体" w:hAnsi="Calibri" w:cs="Times New Roman"/>
          <w:szCs w:val="21"/>
        </w:rPr>
        <w:t>，利润下降</w:t>
      </w:r>
      <w:r w:rsidRPr="00285B58">
        <w:rPr>
          <w:rFonts w:ascii="Calibri" w:eastAsia="宋体" w:hAnsi="Calibri" w:cs="Times New Roman"/>
          <w:szCs w:val="21"/>
        </w:rPr>
        <w:t>28%</w:t>
      </w:r>
      <w:r w:rsidRPr="00285B58">
        <w:rPr>
          <w:rFonts w:ascii="Calibri" w:eastAsia="宋体" w:hAnsi="Calibri" w:cs="Times New Roman"/>
          <w:szCs w:val="21"/>
        </w:rPr>
        <w:t>，汽车行业利润下滑幅度明显改善。</w:t>
      </w:r>
    </w:p>
    <w:p w14:paraId="54D1B900" w14:textId="340F7B0F" w:rsidR="0048057D" w:rsidRDefault="00285B58" w:rsidP="00285B58">
      <w:pPr>
        <w:ind w:firstLineChars="200" w:firstLine="420"/>
        <w:rPr>
          <w:rFonts w:ascii="Calibri" w:eastAsia="宋体" w:hAnsi="Calibri" w:cs="Times New Roman"/>
          <w:szCs w:val="21"/>
        </w:rPr>
      </w:pPr>
      <w:r w:rsidRPr="00285B58">
        <w:rPr>
          <w:rFonts w:ascii="Calibri" w:eastAsia="宋体" w:hAnsi="Calibri" w:cs="Times New Roman"/>
          <w:szCs w:val="21"/>
        </w:rPr>
        <w:t>2021</w:t>
      </w:r>
      <w:r w:rsidRPr="00285B58">
        <w:rPr>
          <w:rFonts w:ascii="Calibri" w:eastAsia="宋体" w:hAnsi="Calibri" w:cs="Times New Roman"/>
          <w:szCs w:val="21"/>
        </w:rPr>
        <w:t>年</w:t>
      </w:r>
      <w:r w:rsidRPr="00285B58">
        <w:rPr>
          <w:rFonts w:ascii="Calibri" w:eastAsia="宋体" w:hAnsi="Calibri" w:cs="Times New Roman"/>
          <w:szCs w:val="21"/>
        </w:rPr>
        <w:t>1-10</w:t>
      </w:r>
      <w:r w:rsidRPr="00285B58">
        <w:rPr>
          <w:rFonts w:ascii="Calibri" w:eastAsia="宋体" w:hAnsi="Calibri" w:cs="Times New Roman"/>
          <w:szCs w:val="21"/>
        </w:rPr>
        <w:t>月的汽车销售利润率</w:t>
      </w:r>
      <w:r w:rsidRPr="00285B58">
        <w:rPr>
          <w:rFonts w:ascii="Calibri" w:eastAsia="宋体" w:hAnsi="Calibri" w:cs="Times New Roman"/>
          <w:szCs w:val="21"/>
        </w:rPr>
        <w:t>6.1%</w:t>
      </w:r>
      <w:r w:rsidRPr="00285B58">
        <w:rPr>
          <w:rFonts w:ascii="Calibri" w:eastAsia="宋体" w:hAnsi="Calibri" w:cs="Times New Roman"/>
          <w:szCs w:val="21"/>
        </w:rPr>
        <w:t>是近期低位。在国内外市场需求稳定恢复、同期基数较低等因素共同作用下，汽车销售相对平稳，企业收入、利润加速恢复，盈利水平回升较明显。</w:t>
      </w:r>
      <w:r w:rsidRPr="00285B58">
        <w:rPr>
          <w:rFonts w:ascii="Calibri" w:eastAsia="宋体" w:hAnsi="Calibri" w:cs="Times New Roman"/>
          <w:szCs w:val="21"/>
        </w:rPr>
        <w:t>2021</w:t>
      </w:r>
      <w:r w:rsidRPr="00285B58">
        <w:rPr>
          <w:rFonts w:ascii="Calibri" w:eastAsia="宋体" w:hAnsi="Calibri" w:cs="Times New Roman"/>
          <w:szCs w:val="21"/>
        </w:rPr>
        <w:t>年，在</w:t>
      </w:r>
      <w:r w:rsidRPr="00285B58">
        <w:rPr>
          <w:rFonts w:ascii="Calibri" w:eastAsia="宋体" w:hAnsi="Calibri" w:cs="Times New Roman"/>
          <w:szCs w:val="21"/>
        </w:rPr>
        <w:t>41</w:t>
      </w:r>
      <w:r w:rsidRPr="00285B58">
        <w:rPr>
          <w:rFonts w:ascii="Calibri" w:eastAsia="宋体" w:hAnsi="Calibri" w:cs="Times New Roman"/>
          <w:szCs w:val="21"/>
        </w:rPr>
        <w:t>个工业大类行业中，绝大部分行业利润总额同比增加，汽车制造业利润下降较快，</w:t>
      </w:r>
      <w:r w:rsidRPr="00285B58">
        <w:rPr>
          <w:rFonts w:ascii="Calibri" w:eastAsia="宋体" w:hAnsi="Calibri" w:cs="Times New Roman"/>
          <w:szCs w:val="21"/>
        </w:rPr>
        <w:t>1—10</w:t>
      </w:r>
      <w:r w:rsidRPr="00285B58">
        <w:rPr>
          <w:rFonts w:ascii="Calibri" w:eastAsia="宋体" w:hAnsi="Calibri" w:cs="Times New Roman"/>
          <w:szCs w:val="21"/>
        </w:rPr>
        <w:t>月份利润同比增长偏低。</w:t>
      </w:r>
    </w:p>
    <w:p w14:paraId="50F0C6A4" w14:textId="77777777" w:rsidR="00285B58" w:rsidRPr="00285B58" w:rsidRDefault="00285B58" w:rsidP="00285B58">
      <w:pPr>
        <w:rPr>
          <w:rFonts w:asciiTheme="minorEastAsia" w:hAnsiTheme="minorEastAsia" w:cs="黑体" w:hint="eastAsia"/>
          <w:bCs/>
          <w:szCs w:val="21"/>
        </w:rPr>
      </w:pPr>
    </w:p>
    <w:p w14:paraId="0CB327B8" w14:textId="77777777" w:rsidR="0048057D" w:rsidRPr="00044A32" w:rsidRDefault="0048057D" w:rsidP="0048057D">
      <w:pPr>
        <w:outlineLvl w:val="0"/>
        <w:rPr>
          <w:b/>
        </w:rPr>
      </w:pPr>
      <w:r w:rsidRPr="00044A32">
        <w:rPr>
          <w:rFonts w:hint="eastAsia"/>
          <w:b/>
        </w:rPr>
        <w:t>二、</w:t>
      </w:r>
      <w:r w:rsidRPr="00044A32">
        <w:rPr>
          <w:rFonts w:cs="宋体" w:hint="eastAsia"/>
          <w:b/>
          <w:bCs/>
        </w:rPr>
        <w:t>本周上市新车</w:t>
      </w:r>
    </w:p>
    <w:p w14:paraId="3AEC0287" w14:textId="77777777" w:rsidR="0071786F" w:rsidRPr="00BE594E" w:rsidRDefault="0071786F" w:rsidP="0048057D">
      <w:pPr>
        <w:pStyle w:val="a8"/>
        <w:numPr>
          <w:ilvl w:val="0"/>
          <w:numId w:val="6"/>
        </w:numPr>
        <w:ind w:firstLineChars="0"/>
        <w:outlineLvl w:val="1"/>
        <w:rPr>
          <w:b/>
        </w:rPr>
      </w:pPr>
      <w:r w:rsidRPr="00BE594E">
        <w:rPr>
          <w:b/>
        </w:rPr>
        <w:t>Model3</w:t>
      </w:r>
      <w:r>
        <w:rPr>
          <w:b/>
        </w:rPr>
        <w:t>后轮驱动版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F84B45" w14:paraId="4BE08D21" w14:textId="77777777" w:rsidTr="005A21B5">
        <w:trPr>
          <w:tblCellSpacing w:w="15" w:type="dxa"/>
        </w:trPr>
        <w:tc>
          <w:tcPr>
            <w:tcW w:w="0" w:type="auto"/>
            <w:tcBorders>
              <w:top w:val="nil"/>
              <w:left w:val="nil"/>
              <w:bottom w:val="nil"/>
              <w:right w:val="nil"/>
            </w:tcBorders>
            <w:hideMark/>
          </w:tcPr>
          <w:p w14:paraId="0B29D76D" w14:textId="77777777" w:rsidR="0071786F" w:rsidRPr="00F84B45"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5F3A3707" w14:textId="77777777" w:rsidR="0071786F" w:rsidRPr="00F84B45" w:rsidRDefault="0071786F" w:rsidP="005A21B5">
            <w:pPr>
              <w:widowControl/>
              <w:jc w:val="left"/>
              <w:rPr>
                <w:rFonts w:ascii="微软雅黑" w:eastAsia="微软雅黑" w:hAnsi="微软雅黑" w:cs="宋体"/>
                <w:color w:val="000000"/>
                <w:kern w:val="0"/>
                <w:sz w:val="27"/>
                <w:szCs w:val="27"/>
              </w:rPr>
            </w:pPr>
            <w:r w:rsidRPr="00F84B45">
              <w:rPr>
                <w:rFonts w:ascii="微软雅黑" w:eastAsia="微软雅黑" w:hAnsi="微软雅黑" w:cs="宋体"/>
                <w:noProof/>
                <w:color w:val="000000"/>
                <w:kern w:val="0"/>
                <w:sz w:val="27"/>
                <w:szCs w:val="27"/>
              </w:rPr>
              <w:drawing>
                <wp:inline distT="0" distB="0" distL="0" distR="0" wp14:anchorId="04BB297C" wp14:editId="610ECC11">
                  <wp:extent cx="1800000" cy="1007048"/>
                  <wp:effectExtent l="0" t="0" r="0" b="3175"/>
                  <wp:docPr id="11" name="图片 11" descr="http://58.246.65.10:8231/UploadFile/2021112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11221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1007048"/>
                          </a:xfrm>
                          <a:prstGeom prst="rect">
                            <a:avLst/>
                          </a:prstGeom>
                          <a:noFill/>
                          <a:ln>
                            <a:noFill/>
                          </a:ln>
                        </pic:spPr>
                      </pic:pic>
                    </a:graphicData>
                  </a:graphic>
                </wp:inline>
              </w:drawing>
            </w:r>
          </w:p>
        </w:tc>
        <w:tc>
          <w:tcPr>
            <w:tcW w:w="0" w:type="auto"/>
            <w:tcBorders>
              <w:top w:val="nil"/>
              <w:left w:val="nil"/>
              <w:bottom w:val="nil"/>
              <w:right w:val="nil"/>
            </w:tcBorders>
            <w:hideMark/>
          </w:tcPr>
          <w:p w14:paraId="575DFDDB" w14:textId="77777777" w:rsidR="0071786F" w:rsidRPr="00F84B45" w:rsidRDefault="0071786F" w:rsidP="005A21B5">
            <w:pPr>
              <w:widowControl/>
              <w:jc w:val="left"/>
              <w:rPr>
                <w:rFonts w:ascii="微软雅黑" w:eastAsia="微软雅黑" w:hAnsi="微软雅黑" w:cs="宋体"/>
                <w:color w:val="000000"/>
                <w:kern w:val="0"/>
                <w:sz w:val="27"/>
                <w:szCs w:val="27"/>
              </w:rPr>
            </w:pPr>
          </w:p>
        </w:tc>
      </w:tr>
    </w:tbl>
    <w:p w14:paraId="24243F91" w14:textId="01D69398" w:rsidR="0071786F" w:rsidRPr="00752901" w:rsidRDefault="0071786F" w:rsidP="0048057D">
      <w:r>
        <w:t>11月19日，Model3后轮驱动版上市，新车补贴后售价为25.09万元。CLTC综合续航里程达556km。</w:t>
      </w:r>
    </w:p>
    <w:p w14:paraId="1DA76DED" w14:textId="77777777" w:rsidR="0071786F" w:rsidRPr="00BA33AB" w:rsidRDefault="0071786F" w:rsidP="0048057D">
      <w:pPr>
        <w:pStyle w:val="a8"/>
        <w:numPr>
          <w:ilvl w:val="0"/>
          <w:numId w:val="6"/>
        </w:numPr>
        <w:ind w:firstLineChars="0"/>
        <w:outlineLvl w:val="1"/>
        <w:rPr>
          <w:b/>
        </w:rPr>
      </w:pPr>
      <w:r>
        <w:rPr>
          <w:b/>
        </w:rPr>
        <w:t>百智大熊</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1D2FE3" w14:paraId="337AD54B" w14:textId="77777777" w:rsidTr="005A21B5">
        <w:trPr>
          <w:tblCellSpacing w:w="15" w:type="dxa"/>
        </w:trPr>
        <w:tc>
          <w:tcPr>
            <w:tcW w:w="0" w:type="auto"/>
            <w:tcBorders>
              <w:top w:val="nil"/>
              <w:left w:val="nil"/>
              <w:bottom w:val="nil"/>
              <w:right w:val="nil"/>
            </w:tcBorders>
            <w:hideMark/>
          </w:tcPr>
          <w:p w14:paraId="3B30F0AE" w14:textId="77777777" w:rsidR="0071786F" w:rsidRPr="001D2FE3"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5F8E21A8" w14:textId="77777777" w:rsidR="0071786F" w:rsidRPr="001D2FE3" w:rsidRDefault="0071786F" w:rsidP="005A21B5">
            <w:pPr>
              <w:widowControl/>
              <w:jc w:val="left"/>
              <w:rPr>
                <w:rFonts w:ascii="微软雅黑" w:eastAsia="微软雅黑" w:hAnsi="微软雅黑" w:cs="宋体"/>
                <w:color w:val="000000"/>
                <w:kern w:val="0"/>
                <w:sz w:val="27"/>
                <w:szCs w:val="27"/>
              </w:rPr>
            </w:pPr>
            <w:r w:rsidRPr="001D2FE3">
              <w:rPr>
                <w:rFonts w:ascii="微软雅黑" w:eastAsia="微软雅黑" w:hAnsi="微软雅黑" w:cs="宋体"/>
                <w:noProof/>
                <w:color w:val="000000"/>
                <w:kern w:val="0"/>
                <w:sz w:val="27"/>
                <w:szCs w:val="27"/>
              </w:rPr>
              <w:drawing>
                <wp:inline distT="0" distB="0" distL="0" distR="0" wp14:anchorId="159CDCE6" wp14:editId="404C4C00">
                  <wp:extent cx="1800000" cy="1042458"/>
                  <wp:effectExtent l="0" t="0" r="0" b="5715"/>
                  <wp:docPr id="23" name="图片 23" descr="http://58.246.65.10:8231/UploadFile/2021112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58.246.65.10:8231/UploadFile/20211126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42458"/>
                          </a:xfrm>
                          <a:prstGeom prst="rect">
                            <a:avLst/>
                          </a:prstGeom>
                          <a:noFill/>
                          <a:ln>
                            <a:noFill/>
                          </a:ln>
                        </pic:spPr>
                      </pic:pic>
                    </a:graphicData>
                  </a:graphic>
                </wp:inline>
              </w:drawing>
            </w:r>
          </w:p>
        </w:tc>
        <w:tc>
          <w:tcPr>
            <w:tcW w:w="0" w:type="auto"/>
            <w:tcBorders>
              <w:top w:val="nil"/>
              <w:left w:val="nil"/>
              <w:bottom w:val="nil"/>
              <w:right w:val="nil"/>
            </w:tcBorders>
            <w:hideMark/>
          </w:tcPr>
          <w:p w14:paraId="6AAE157A" w14:textId="77777777" w:rsidR="0071786F" w:rsidRPr="001D2FE3" w:rsidRDefault="0071786F" w:rsidP="005A21B5">
            <w:pPr>
              <w:widowControl/>
              <w:jc w:val="left"/>
              <w:rPr>
                <w:rFonts w:ascii="微软雅黑" w:eastAsia="微软雅黑" w:hAnsi="微软雅黑" w:cs="宋体"/>
                <w:color w:val="000000"/>
                <w:kern w:val="0"/>
                <w:sz w:val="27"/>
                <w:szCs w:val="27"/>
              </w:rPr>
            </w:pPr>
          </w:p>
        </w:tc>
      </w:tr>
    </w:tbl>
    <w:p w14:paraId="0A556E46" w14:textId="77777777" w:rsidR="0071786F" w:rsidRDefault="0071786F" w:rsidP="0048057D">
      <w:r>
        <w:t>11月25日，百智大熊上市，新车共推2款，售价区间为2.78万-3.38万元。</w:t>
      </w:r>
    </w:p>
    <w:p w14:paraId="0A74269C" w14:textId="77777777" w:rsidR="0071786F" w:rsidRDefault="0071786F" w:rsidP="0048057D">
      <w:r>
        <w:rPr>
          <w:rFonts w:hint="eastAsia"/>
        </w:rPr>
        <w:t>外观方面，新车采用封闭式进气格栅。</w:t>
      </w:r>
    </w:p>
    <w:p w14:paraId="21BEB978" w14:textId="7D1E251F" w:rsidR="0071786F" w:rsidRPr="00752901" w:rsidRDefault="0071786F" w:rsidP="0048057D">
      <w:r>
        <w:rPr>
          <w:rFonts w:hint="eastAsia"/>
        </w:rPr>
        <w:t>动力方面，新车搭载纯电动机，</w:t>
      </w:r>
      <w:r>
        <w:t>NEDC综合续航里程达138km，181km。</w:t>
      </w:r>
    </w:p>
    <w:p w14:paraId="2CDDFD52" w14:textId="77777777" w:rsidR="0071786F" w:rsidRPr="00BA33AB" w:rsidRDefault="0071786F" w:rsidP="0048057D">
      <w:pPr>
        <w:pStyle w:val="a8"/>
        <w:numPr>
          <w:ilvl w:val="0"/>
          <w:numId w:val="6"/>
        </w:numPr>
        <w:ind w:firstLineChars="0"/>
        <w:outlineLvl w:val="1"/>
        <w:rPr>
          <w:b/>
        </w:rPr>
      </w:pPr>
      <w:r w:rsidRPr="00BA33AB">
        <w:rPr>
          <w:b/>
        </w:rPr>
        <w:t>宝骏KiWiEV</w:t>
      </w:r>
      <w:r>
        <w:rPr>
          <w:b/>
        </w:rPr>
        <w:t>高定款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436041" w14:paraId="7D3A42BE" w14:textId="77777777" w:rsidTr="005A21B5">
        <w:trPr>
          <w:tblCellSpacing w:w="15" w:type="dxa"/>
        </w:trPr>
        <w:tc>
          <w:tcPr>
            <w:tcW w:w="0" w:type="auto"/>
            <w:tcBorders>
              <w:top w:val="nil"/>
              <w:left w:val="nil"/>
              <w:bottom w:val="nil"/>
              <w:right w:val="nil"/>
            </w:tcBorders>
            <w:hideMark/>
          </w:tcPr>
          <w:p w14:paraId="5B4C0CA0" w14:textId="77777777" w:rsidR="0071786F" w:rsidRPr="00436041"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0F8D4E2A" w14:textId="77777777" w:rsidR="0071786F" w:rsidRPr="00436041" w:rsidRDefault="0071786F" w:rsidP="005A21B5">
            <w:pPr>
              <w:widowControl/>
              <w:jc w:val="left"/>
              <w:rPr>
                <w:rFonts w:ascii="微软雅黑" w:eastAsia="微软雅黑" w:hAnsi="微软雅黑" w:cs="宋体"/>
                <w:color w:val="000000"/>
                <w:kern w:val="0"/>
                <w:sz w:val="27"/>
                <w:szCs w:val="27"/>
              </w:rPr>
            </w:pPr>
            <w:r w:rsidRPr="00436041">
              <w:rPr>
                <w:rFonts w:ascii="微软雅黑" w:eastAsia="微软雅黑" w:hAnsi="微软雅黑" w:cs="宋体"/>
                <w:noProof/>
                <w:color w:val="000000"/>
                <w:kern w:val="0"/>
                <w:sz w:val="27"/>
                <w:szCs w:val="27"/>
              </w:rPr>
              <w:drawing>
                <wp:inline distT="0" distB="0" distL="0" distR="0" wp14:anchorId="65D9C311" wp14:editId="75681585">
                  <wp:extent cx="1800000" cy="1083673"/>
                  <wp:effectExtent l="0" t="0" r="0" b="2540"/>
                  <wp:docPr id="46" name="图片 46" descr="http://58.246.65.10:8231/UploadFile/2021112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58.246.65.10:8231/UploadFile/20211125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83673"/>
                          </a:xfrm>
                          <a:prstGeom prst="rect">
                            <a:avLst/>
                          </a:prstGeom>
                          <a:noFill/>
                          <a:ln>
                            <a:noFill/>
                          </a:ln>
                        </pic:spPr>
                      </pic:pic>
                    </a:graphicData>
                  </a:graphic>
                </wp:inline>
              </w:drawing>
            </w:r>
          </w:p>
        </w:tc>
        <w:tc>
          <w:tcPr>
            <w:tcW w:w="0" w:type="auto"/>
            <w:tcBorders>
              <w:top w:val="nil"/>
              <w:left w:val="nil"/>
              <w:bottom w:val="nil"/>
              <w:right w:val="nil"/>
            </w:tcBorders>
            <w:hideMark/>
          </w:tcPr>
          <w:p w14:paraId="3AFC5449" w14:textId="77777777" w:rsidR="0071786F" w:rsidRPr="00436041" w:rsidRDefault="0071786F" w:rsidP="005A21B5">
            <w:pPr>
              <w:widowControl/>
              <w:jc w:val="left"/>
              <w:rPr>
                <w:rFonts w:ascii="微软雅黑" w:eastAsia="微软雅黑" w:hAnsi="微软雅黑" w:cs="宋体"/>
                <w:color w:val="000000"/>
                <w:kern w:val="0"/>
                <w:sz w:val="27"/>
                <w:szCs w:val="27"/>
              </w:rPr>
            </w:pPr>
          </w:p>
        </w:tc>
      </w:tr>
    </w:tbl>
    <w:p w14:paraId="3F1F6524" w14:textId="77777777" w:rsidR="0071786F" w:rsidRDefault="0071786F" w:rsidP="0048057D">
      <w:r>
        <w:t>11月24日，宝骏KiWiEV高定款上市，新车补贴后售价为8.98万元，享受国补1.02万元。</w:t>
      </w:r>
    </w:p>
    <w:p w14:paraId="3C2AF3D7" w14:textId="0A1F3FCB" w:rsidR="0071786F" w:rsidRPr="00752901" w:rsidRDefault="0071786F" w:rsidP="0048057D">
      <w:r>
        <w:rPr>
          <w:rFonts w:hint="eastAsia"/>
        </w:rPr>
        <w:t>动力方面，新车搭载纯电动机，</w:t>
      </w:r>
      <w:r>
        <w:t>NEDC综合续航里程达305km。</w:t>
      </w:r>
    </w:p>
    <w:p w14:paraId="56D94F81" w14:textId="77777777" w:rsidR="0071786F" w:rsidRPr="00BE594E" w:rsidRDefault="0071786F" w:rsidP="0048057D">
      <w:pPr>
        <w:pStyle w:val="a8"/>
        <w:numPr>
          <w:ilvl w:val="0"/>
          <w:numId w:val="6"/>
        </w:numPr>
        <w:ind w:firstLineChars="0"/>
        <w:outlineLvl w:val="1"/>
        <w:rPr>
          <w:b/>
        </w:rPr>
      </w:pPr>
      <w:r w:rsidRPr="00BE594E">
        <w:rPr>
          <w:b/>
        </w:rPr>
        <w:t>奔驰EQA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F84B45" w14:paraId="7EA549C5" w14:textId="77777777" w:rsidTr="005A21B5">
        <w:trPr>
          <w:tblCellSpacing w:w="15" w:type="dxa"/>
        </w:trPr>
        <w:tc>
          <w:tcPr>
            <w:tcW w:w="0" w:type="auto"/>
            <w:tcBorders>
              <w:top w:val="nil"/>
              <w:left w:val="nil"/>
              <w:bottom w:val="nil"/>
              <w:right w:val="nil"/>
            </w:tcBorders>
            <w:hideMark/>
          </w:tcPr>
          <w:p w14:paraId="69CBDDE1" w14:textId="77777777" w:rsidR="0071786F" w:rsidRPr="00F84B45"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4D0BEEA8" w14:textId="77777777" w:rsidR="0071786F" w:rsidRPr="00F84B45" w:rsidRDefault="0071786F" w:rsidP="005A21B5">
            <w:pPr>
              <w:widowControl/>
              <w:jc w:val="left"/>
              <w:rPr>
                <w:rFonts w:ascii="微软雅黑" w:eastAsia="微软雅黑" w:hAnsi="微软雅黑" w:cs="宋体"/>
                <w:color w:val="000000"/>
                <w:kern w:val="0"/>
                <w:sz w:val="27"/>
                <w:szCs w:val="27"/>
              </w:rPr>
            </w:pPr>
            <w:r w:rsidRPr="00F84B45">
              <w:rPr>
                <w:rFonts w:ascii="微软雅黑" w:eastAsia="微软雅黑" w:hAnsi="微软雅黑" w:cs="宋体"/>
                <w:noProof/>
                <w:color w:val="000000"/>
                <w:kern w:val="0"/>
                <w:sz w:val="27"/>
                <w:szCs w:val="27"/>
              </w:rPr>
              <w:drawing>
                <wp:inline distT="0" distB="0" distL="0" distR="0" wp14:anchorId="77D67947" wp14:editId="63EE5881">
                  <wp:extent cx="1800000" cy="971244"/>
                  <wp:effectExtent l="0" t="0" r="0" b="635"/>
                  <wp:docPr id="41" name="图片 41" descr="http://58.246.65.10:8231/UploadFile/202111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1122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71244"/>
                          </a:xfrm>
                          <a:prstGeom prst="rect">
                            <a:avLst/>
                          </a:prstGeom>
                          <a:noFill/>
                          <a:ln>
                            <a:noFill/>
                          </a:ln>
                        </pic:spPr>
                      </pic:pic>
                    </a:graphicData>
                  </a:graphic>
                </wp:inline>
              </w:drawing>
            </w:r>
          </w:p>
        </w:tc>
        <w:tc>
          <w:tcPr>
            <w:tcW w:w="0" w:type="auto"/>
            <w:tcBorders>
              <w:top w:val="nil"/>
              <w:left w:val="nil"/>
              <w:bottom w:val="nil"/>
              <w:right w:val="nil"/>
            </w:tcBorders>
            <w:hideMark/>
          </w:tcPr>
          <w:p w14:paraId="5DCF8EC7" w14:textId="77777777" w:rsidR="0071786F" w:rsidRPr="00F84B45" w:rsidRDefault="0071786F" w:rsidP="005A21B5">
            <w:pPr>
              <w:widowControl/>
              <w:jc w:val="left"/>
              <w:rPr>
                <w:rFonts w:ascii="微软雅黑" w:eastAsia="微软雅黑" w:hAnsi="微软雅黑" w:cs="宋体"/>
                <w:color w:val="000000"/>
                <w:kern w:val="0"/>
                <w:sz w:val="27"/>
                <w:szCs w:val="27"/>
              </w:rPr>
            </w:pPr>
          </w:p>
        </w:tc>
      </w:tr>
    </w:tbl>
    <w:p w14:paraId="38D4C46B" w14:textId="103F5562" w:rsidR="0071786F" w:rsidRPr="00752901" w:rsidRDefault="0071786F" w:rsidP="0048057D">
      <w:r>
        <w:t>11月19日，奔驰EQA上市，新车售价为36.58万元。</w:t>
      </w:r>
      <w:r>
        <w:rPr>
          <w:rFonts w:hint="eastAsia"/>
        </w:rPr>
        <w:t>动力方面，新车搭载纯电动机，</w:t>
      </w:r>
      <w:r>
        <w:t>CLTC综合续航里程达537km。</w:t>
      </w:r>
    </w:p>
    <w:p w14:paraId="55800AF2" w14:textId="77777777" w:rsidR="0071786F" w:rsidRPr="00BE594E" w:rsidRDefault="0071786F" w:rsidP="0048057D">
      <w:pPr>
        <w:pStyle w:val="a8"/>
        <w:numPr>
          <w:ilvl w:val="0"/>
          <w:numId w:val="6"/>
        </w:numPr>
        <w:ind w:firstLineChars="0"/>
        <w:outlineLvl w:val="1"/>
        <w:rPr>
          <w:b/>
        </w:rPr>
      </w:pPr>
      <w:r w:rsidRPr="00BE594E">
        <w:rPr>
          <w:b/>
        </w:rPr>
        <w:t>奔驰EQB</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F84B45" w14:paraId="2825FE5A" w14:textId="77777777" w:rsidTr="005A21B5">
        <w:trPr>
          <w:tblCellSpacing w:w="15" w:type="dxa"/>
        </w:trPr>
        <w:tc>
          <w:tcPr>
            <w:tcW w:w="0" w:type="auto"/>
            <w:tcBorders>
              <w:top w:val="nil"/>
              <w:left w:val="nil"/>
              <w:bottom w:val="nil"/>
              <w:right w:val="nil"/>
            </w:tcBorders>
            <w:hideMark/>
          </w:tcPr>
          <w:p w14:paraId="2C30CA18" w14:textId="77777777" w:rsidR="0071786F" w:rsidRPr="00F84B45"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66C5CEF0" w14:textId="77777777" w:rsidR="0071786F" w:rsidRPr="00F84B45" w:rsidRDefault="0071786F" w:rsidP="005A21B5">
            <w:pPr>
              <w:widowControl/>
              <w:jc w:val="left"/>
              <w:rPr>
                <w:rFonts w:ascii="微软雅黑" w:eastAsia="微软雅黑" w:hAnsi="微软雅黑" w:cs="宋体"/>
                <w:color w:val="000000"/>
                <w:kern w:val="0"/>
                <w:sz w:val="27"/>
                <w:szCs w:val="27"/>
              </w:rPr>
            </w:pPr>
            <w:r w:rsidRPr="00F84B45">
              <w:rPr>
                <w:rFonts w:ascii="微软雅黑" w:eastAsia="微软雅黑" w:hAnsi="微软雅黑" w:cs="宋体"/>
                <w:noProof/>
                <w:color w:val="000000"/>
                <w:kern w:val="0"/>
                <w:sz w:val="27"/>
                <w:szCs w:val="27"/>
              </w:rPr>
              <w:drawing>
                <wp:inline distT="0" distB="0" distL="0" distR="0" wp14:anchorId="2B5BF8E2" wp14:editId="0923C944">
                  <wp:extent cx="1800000" cy="946524"/>
                  <wp:effectExtent l="0" t="0" r="0" b="6350"/>
                  <wp:docPr id="44" name="图片 44" descr="http://58.246.65.10:8231/UploadFile/202111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1122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6524"/>
                          </a:xfrm>
                          <a:prstGeom prst="rect">
                            <a:avLst/>
                          </a:prstGeom>
                          <a:noFill/>
                          <a:ln>
                            <a:noFill/>
                          </a:ln>
                        </pic:spPr>
                      </pic:pic>
                    </a:graphicData>
                  </a:graphic>
                </wp:inline>
              </w:drawing>
            </w:r>
          </w:p>
        </w:tc>
        <w:tc>
          <w:tcPr>
            <w:tcW w:w="0" w:type="auto"/>
            <w:tcBorders>
              <w:top w:val="nil"/>
              <w:left w:val="nil"/>
              <w:bottom w:val="nil"/>
              <w:right w:val="nil"/>
            </w:tcBorders>
            <w:hideMark/>
          </w:tcPr>
          <w:p w14:paraId="4DA0AD52" w14:textId="77777777" w:rsidR="0071786F" w:rsidRPr="00F84B45" w:rsidRDefault="0071786F" w:rsidP="005A21B5">
            <w:pPr>
              <w:widowControl/>
              <w:jc w:val="left"/>
              <w:rPr>
                <w:rFonts w:ascii="微软雅黑" w:eastAsia="微软雅黑" w:hAnsi="微软雅黑" w:cs="宋体"/>
                <w:color w:val="000000"/>
                <w:kern w:val="0"/>
                <w:sz w:val="27"/>
                <w:szCs w:val="27"/>
              </w:rPr>
            </w:pPr>
          </w:p>
        </w:tc>
      </w:tr>
    </w:tbl>
    <w:p w14:paraId="709D47C4" w14:textId="2D528B73" w:rsidR="0071786F" w:rsidRPr="00752901" w:rsidRDefault="0071786F" w:rsidP="0048057D">
      <w:r>
        <w:t>11月19日，奔驰EQB上市，新车售价为43.78万元。</w:t>
      </w:r>
      <w:r>
        <w:rPr>
          <w:rFonts w:hint="eastAsia"/>
        </w:rPr>
        <w:t>综合续航里程达</w:t>
      </w:r>
      <w:r>
        <w:t>512km。</w:t>
      </w:r>
    </w:p>
    <w:p w14:paraId="5CD72768" w14:textId="77777777" w:rsidR="0071786F" w:rsidRPr="00BE594E" w:rsidRDefault="0071786F" w:rsidP="0048057D">
      <w:pPr>
        <w:pStyle w:val="a8"/>
        <w:numPr>
          <w:ilvl w:val="0"/>
          <w:numId w:val="6"/>
        </w:numPr>
        <w:ind w:firstLineChars="0"/>
        <w:outlineLvl w:val="1"/>
        <w:rPr>
          <w:b/>
        </w:rPr>
      </w:pPr>
      <w:r w:rsidRPr="00BE594E">
        <w:rPr>
          <w:b/>
        </w:rPr>
        <w:t>红旗E-HS9</w:t>
      </w:r>
      <w:r>
        <w:rPr>
          <w:b/>
        </w:rPr>
        <w:t>长续航版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F84B45" w14:paraId="39386F0C" w14:textId="77777777" w:rsidTr="005A21B5">
        <w:trPr>
          <w:tblCellSpacing w:w="15" w:type="dxa"/>
        </w:trPr>
        <w:tc>
          <w:tcPr>
            <w:tcW w:w="0" w:type="auto"/>
            <w:tcBorders>
              <w:top w:val="nil"/>
              <w:left w:val="nil"/>
              <w:bottom w:val="nil"/>
              <w:right w:val="nil"/>
            </w:tcBorders>
            <w:hideMark/>
          </w:tcPr>
          <w:p w14:paraId="450FAEB3" w14:textId="77777777" w:rsidR="0071786F" w:rsidRPr="00F84B45"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05ADF4C7" w14:textId="77777777" w:rsidR="0071786F" w:rsidRPr="00F84B45" w:rsidRDefault="0071786F" w:rsidP="005A21B5">
            <w:pPr>
              <w:widowControl/>
              <w:jc w:val="left"/>
              <w:rPr>
                <w:rFonts w:ascii="微软雅黑" w:eastAsia="微软雅黑" w:hAnsi="微软雅黑" w:cs="宋体"/>
                <w:color w:val="000000"/>
                <w:kern w:val="0"/>
                <w:sz w:val="27"/>
                <w:szCs w:val="27"/>
              </w:rPr>
            </w:pPr>
            <w:r w:rsidRPr="00F84B45">
              <w:rPr>
                <w:rFonts w:ascii="微软雅黑" w:eastAsia="微软雅黑" w:hAnsi="微软雅黑" w:cs="宋体"/>
                <w:noProof/>
                <w:color w:val="000000"/>
                <w:kern w:val="0"/>
                <w:sz w:val="27"/>
                <w:szCs w:val="27"/>
              </w:rPr>
              <w:drawing>
                <wp:inline distT="0" distB="0" distL="0" distR="0" wp14:anchorId="634AE61A" wp14:editId="653C3817">
                  <wp:extent cx="1800000" cy="1010265"/>
                  <wp:effectExtent l="0" t="0" r="0" b="0"/>
                  <wp:docPr id="45" name="图片 45" descr="http://58.246.65.10:8231/UploadFile/2021112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111221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1010265"/>
                          </a:xfrm>
                          <a:prstGeom prst="rect">
                            <a:avLst/>
                          </a:prstGeom>
                          <a:noFill/>
                          <a:ln>
                            <a:noFill/>
                          </a:ln>
                        </pic:spPr>
                      </pic:pic>
                    </a:graphicData>
                  </a:graphic>
                </wp:inline>
              </w:drawing>
            </w:r>
          </w:p>
        </w:tc>
        <w:tc>
          <w:tcPr>
            <w:tcW w:w="0" w:type="auto"/>
            <w:tcBorders>
              <w:top w:val="nil"/>
              <w:left w:val="nil"/>
              <w:bottom w:val="nil"/>
              <w:right w:val="nil"/>
            </w:tcBorders>
            <w:hideMark/>
          </w:tcPr>
          <w:p w14:paraId="7D943168" w14:textId="77777777" w:rsidR="0071786F" w:rsidRPr="00F84B45" w:rsidRDefault="0071786F" w:rsidP="005A21B5">
            <w:pPr>
              <w:widowControl/>
              <w:jc w:val="left"/>
              <w:rPr>
                <w:rFonts w:ascii="微软雅黑" w:eastAsia="微软雅黑" w:hAnsi="微软雅黑" w:cs="宋体"/>
                <w:color w:val="000000"/>
                <w:kern w:val="0"/>
                <w:sz w:val="27"/>
                <w:szCs w:val="27"/>
              </w:rPr>
            </w:pPr>
          </w:p>
        </w:tc>
      </w:tr>
    </w:tbl>
    <w:p w14:paraId="4508FA66" w14:textId="77777777" w:rsidR="0071786F" w:rsidRDefault="0071786F" w:rsidP="0048057D">
      <w:r>
        <w:t>11月19日，红旗E-HS9长续航版上市，新车共推4款，售价区间为58.98万-77.98万元。</w:t>
      </w:r>
    </w:p>
    <w:p w14:paraId="047AE922" w14:textId="77777777" w:rsidR="0071786F" w:rsidRDefault="0071786F" w:rsidP="0048057D">
      <w:r>
        <w:rPr>
          <w:rFonts w:hint="eastAsia"/>
        </w:rPr>
        <w:t>外观方面，新车与老款车型基本保持一致。</w:t>
      </w:r>
    </w:p>
    <w:p w14:paraId="2FD7F4D8" w14:textId="024C0C92" w:rsidR="0071786F" w:rsidRPr="00752901" w:rsidRDefault="0071786F" w:rsidP="0048057D">
      <w:r>
        <w:rPr>
          <w:rFonts w:hint="eastAsia"/>
        </w:rPr>
        <w:t>动力方面，新车搭载纯电动机，</w:t>
      </w:r>
      <w:r>
        <w:t>NEDC综合续航里程达660km，690km。</w:t>
      </w:r>
    </w:p>
    <w:p w14:paraId="0AD8BC3E" w14:textId="77777777" w:rsidR="0071786F" w:rsidRPr="00BE594E" w:rsidRDefault="0071786F" w:rsidP="0048057D">
      <w:pPr>
        <w:pStyle w:val="a8"/>
        <w:numPr>
          <w:ilvl w:val="0"/>
          <w:numId w:val="6"/>
        </w:numPr>
        <w:ind w:firstLineChars="0"/>
        <w:outlineLvl w:val="1"/>
        <w:rPr>
          <w:b/>
        </w:rPr>
      </w:pPr>
      <w:r w:rsidRPr="00BE594E">
        <w:rPr>
          <w:b/>
        </w:rPr>
        <w:t>摩卡NOH</w:t>
      </w:r>
      <w:r>
        <w:rPr>
          <w:b/>
        </w:rPr>
        <w:t>智慧领航版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F84B45" w14:paraId="407BE244" w14:textId="77777777" w:rsidTr="005A21B5">
        <w:trPr>
          <w:tblCellSpacing w:w="15" w:type="dxa"/>
        </w:trPr>
        <w:tc>
          <w:tcPr>
            <w:tcW w:w="0" w:type="auto"/>
            <w:tcBorders>
              <w:top w:val="nil"/>
              <w:left w:val="nil"/>
              <w:bottom w:val="nil"/>
              <w:right w:val="nil"/>
            </w:tcBorders>
            <w:hideMark/>
          </w:tcPr>
          <w:p w14:paraId="37BA4BB9" w14:textId="77777777" w:rsidR="0071786F" w:rsidRPr="00F84B45"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00F7D0B4" w14:textId="77777777" w:rsidR="0071786F" w:rsidRPr="00F84B45" w:rsidRDefault="0071786F" w:rsidP="005A21B5">
            <w:pPr>
              <w:widowControl/>
              <w:jc w:val="left"/>
              <w:rPr>
                <w:rFonts w:ascii="微软雅黑" w:eastAsia="微软雅黑" w:hAnsi="微软雅黑" w:cs="宋体"/>
                <w:color w:val="000000"/>
                <w:kern w:val="0"/>
                <w:sz w:val="27"/>
                <w:szCs w:val="27"/>
              </w:rPr>
            </w:pPr>
            <w:r w:rsidRPr="00F84B45">
              <w:rPr>
                <w:rFonts w:ascii="微软雅黑" w:eastAsia="微软雅黑" w:hAnsi="微软雅黑" w:cs="宋体"/>
                <w:noProof/>
                <w:color w:val="000000"/>
                <w:kern w:val="0"/>
                <w:sz w:val="27"/>
                <w:szCs w:val="27"/>
              </w:rPr>
              <w:drawing>
                <wp:inline distT="0" distB="0" distL="0" distR="0" wp14:anchorId="495A443A" wp14:editId="4B9DC7FB">
                  <wp:extent cx="1800000" cy="941744"/>
                  <wp:effectExtent l="0" t="0" r="0" b="0"/>
                  <wp:docPr id="14" name="图片 14" descr="http://58.246.65.10:8231/UploadFile/2021112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111221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41744"/>
                          </a:xfrm>
                          <a:prstGeom prst="rect">
                            <a:avLst/>
                          </a:prstGeom>
                          <a:noFill/>
                          <a:ln>
                            <a:noFill/>
                          </a:ln>
                        </pic:spPr>
                      </pic:pic>
                    </a:graphicData>
                  </a:graphic>
                </wp:inline>
              </w:drawing>
            </w:r>
          </w:p>
        </w:tc>
        <w:tc>
          <w:tcPr>
            <w:tcW w:w="0" w:type="auto"/>
            <w:tcBorders>
              <w:top w:val="nil"/>
              <w:left w:val="nil"/>
              <w:bottom w:val="nil"/>
              <w:right w:val="nil"/>
            </w:tcBorders>
            <w:hideMark/>
          </w:tcPr>
          <w:p w14:paraId="3E0E2A5C" w14:textId="77777777" w:rsidR="0071786F" w:rsidRPr="00F84B45" w:rsidRDefault="0071786F" w:rsidP="005A21B5">
            <w:pPr>
              <w:widowControl/>
              <w:jc w:val="left"/>
              <w:rPr>
                <w:rFonts w:ascii="微软雅黑" w:eastAsia="微软雅黑" w:hAnsi="微软雅黑" w:cs="宋体"/>
                <w:color w:val="000000"/>
                <w:kern w:val="0"/>
                <w:sz w:val="27"/>
                <w:szCs w:val="27"/>
              </w:rPr>
            </w:pPr>
          </w:p>
        </w:tc>
      </w:tr>
    </w:tbl>
    <w:p w14:paraId="6BA41DA5" w14:textId="77777777" w:rsidR="0071786F" w:rsidRDefault="0071786F" w:rsidP="0048057D">
      <w:r>
        <w:t>11月19日，摩卡NOH智慧领航版上市，新车售价为22.38万元。</w:t>
      </w:r>
    </w:p>
    <w:p w14:paraId="6216CF38" w14:textId="3D0461CC" w:rsidR="0071786F" w:rsidRPr="00752901" w:rsidRDefault="0071786F" w:rsidP="0048057D">
      <w:r>
        <w:rPr>
          <w:rFonts w:hint="eastAsia"/>
        </w:rPr>
        <w:t>动力方面，新车搭载</w:t>
      </w:r>
      <w:r>
        <w:t>2.0T发动机，匹配9DCT变速箱。</w:t>
      </w:r>
    </w:p>
    <w:p w14:paraId="20187767" w14:textId="77777777" w:rsidR="0071786F" w:rsidRPr="00BE594E" w:rsidRDefault="0071786F" w:rsidP="0048057D">
      <w:pPr>
        <w:pStyle w:val="a8"/>
        <w:numPr>
          <w:ilvl w:val="0"/>
          <w:numId w:val="6"/>
        </w:numPr>
        <w:ind w:firstLineChars="0"/>
        <w:outlineLvl w:val="1"/>
        <w:rPr>
          <w:b/>
        </w:rPr>
      </w:pPr>
      <w:r w:rsidRPr="00BE594E">
        <w:rPr>
          <w:b/>
        </w:rPr>
        <w:t>思皓E10X</w:t>
      </w:r>
      <w:r>
        <w:rPr>
          <w:b/>
        </w:rPr>
        <w:t>花仙子</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F84B45" w14:paraId="755872B1" w14:textId="77777777" w:rsidTr="005A21B5">
        <w:trPr>
          <w:tblCellSpacing w:w="15" w:type="dxa"/>
        </w:trPr>
        <w:tc>
          <w:tcPr>
            <w:tcW w:w="0" w:type="auto"/>
            <w:tcBorders>
              <w:top w:val="nil"/>
              <w:left w:val="nil"/>
              <w:bottom w:val="nil"/>
              <w:right w:val="nil"/>
            </w:tcBorders>
            <w:hideMark/>
          </w:tcPr>
          <w:p w14:paraId="65A97F03" w14:textId="77777777" w:rsidR="0071786F" w:rsidRPr="00F84B45"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327A72B4" w14:textId="77777777" w:rsidR="0071786F" w:rsidRPr="00F84B45" w:rsidRDefault="0071786F" w:rsidP="005A21B5">
            <w:pPr>
              <w:widowControl/>
              <w:jc w:val="left"/>
              <w:rPr>
                <w:rFonts w:ascii="微软雅黑" w:eastAsia="微软雅黑" w:hAnsi="微软雅黑" w:cs="宋体"/>
                <w:color w:val="000000"/>
                <w:kern w:val="0"/>
                <w:sz w:val="27"/>
                <w:szCs w:val="27"/>
              </w:rPr>
            </w:pPr>
            <w:r w:rsidRPr="00F84B45">
              <w:rPr>
                <w:rFonts w:ascii="微软雅黑" w:eastAsia="微软雅黑" w:hAnsi="微软雅黑" w:cs="宋体"/>
                <w:noProof/>
                <w:color w:val="000000"/>
                <w:kern w:val="0"/>
                <w:sz w:val="27"/>
                <w:szCs w:val="27"/>
              </w:rPr>
              <w:drawing>
                <wp:inline distT="0" distB="0" distL="0" distR="0" wp14:anchorId="1D6F985C" wp14:editId="55C30DF2">
                  <wp:extent cx="1800000" cy="1043378"/>
                  <wp:effectExtent l="0" t="0" r="0" b="4445"/>
                  <wp:docPr id="9" name="图片 9" descr="http://58.246.65.10:8231/UploadFile/2021112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11221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1043378"/>
                          </a:xfrm>
                          <a:prstGeom prst="rect">
                            <a:avLst/>
                          </a:prstGeom>
                          <a:noFill/>
                          <a:ln>
                            <a:noFill/>
                          </a:ln>
                        </pic:spPr>
                      </pic:pic>
                    </a:graphicData>
                  </a:graphic>
                </wp:inline>
              </w:drawing>
            </w:r>
          </w:p>
        </w:tc>
        <w:tc>
          <w:tcPr>
            <w:tcW w:w="0" w:type="auto"/>
            <w:tcBorders>
              <w:top w:val="nil"/>
              <w:left w:val="nil"/>
              <w:bottom w:val="nil"/>
              <w:right w:val="nil"/>
            </w:tcBorders>
            <w:hideMark/>
          </w:tcPr>
          <w:p w14:paraId="1E8F2A5A" w14:textId="77777777" w:rsidR="0071786F" w:rsidRPr="00F84B45" w:rsidRDefault="0071786F" w:rsidP="005A21B5">
            <w:pPr>
              <w:widowControl/>
              <w:jc w:val="left"/>
              <w:rPr>
                <w:rFonts w:ascii="微软雅黑" w:eastAsia="微软雅黑" w:hAnsi="微软雅黑" w:cs="宋体"/>
                <w:color w:val="000000"/>
                <w:kern w:val="0"/>
                <w:sz w:val="27"/>
                <w:szCs w:val="27"/>
              </w:rPr>
            </w:pPr>
          </w:p>
        </w:tc>
      </w:tr>
    </w:tbl>
    <w:p w14:paraId="5D34F2C0" w14:textId="77777777" w:rsidR="0071786F" w:rsidRDefault="0071786F" w:rsidP="0048057D">
      <w:r>
        <w:t>11月19日，思皓E10X花仙子上市，新车共推3款，补贴后售价区间为6.99万-7.69万元，享受国补1.1万元。</w:t>
      </w:r>
    </w:p>
    <w:p w14:paraId="535192BB" w14:textId="77777777" w:rsidR="0071786F" w:rsidRDefault="0071786F" w:rsidP="0048057D">
      <w:r>
        <w:rPr>
          <w:rFonts w:hint="eastAsia"/>
        </w:rPr>
        <w:t>外观方面，新车采用特殊涂装。</w:t>
      </w:r>
    </w:p>
    <w:p w14:paraId="7B76E7BF" w14:textId="77777777" w:rsidR="0071786F" w:rsidRDefault="0071786F" w:rsidP="0048057D">
      <w:r>
        <w:rPr>
          <w:rFonts w:hint="eastAsia"/>
        </w:rPr>
        <w:t>内饰方面，新车采用</w:t>
      </w:r>
      <w:r>
        <w:t>12.8英寸中控屏。</w:t>
      </w:r>
    </w:p>
    <w:p w14:paraId="1BA58619" w14:textId="77777777" w:rsidR="0071786F" w:rsidRDefault="0071786F" w:rsidP="0048057D">
      <w:r>
        <w:rPr>
          <w:rFonts w:hint="eastAsia"/>
        </w:rPr>
        <w:t>配置方面，新车配备四门车窗一键升降、</w:t>
      </w:r>
      <w:r>
        <w:t>360°全景影像、无骨雨刮、无感进入等。</w:t>
      </w:r>
    </w:p>
    <w:p w14:paraId="434AE6DD" w14:textId="3F43B276" w:rsidR="0071786F" w:rsidRPr="00752901" w:rsidRDefault="0071786F" w:rsidP="0048057D">
      <w:r>
        <w:rPr>
          <w:rFonts w:hint="eastAsia"/>
        </w:rPr>
        <w:t>动力方面，新车搭载纯电动机，</w:t>
      </w:r>
      <w:r>
        <w:t>NEDC综合续航里程达301km。</w:t>
      </w:r>
    </w:p>
    <w:p w14:paraId="2B878647" w14:textId="77777777" w:rsidR="0071786F" w:rsidRPr="00BE594E" w:rsidRDefault="0071786F" w:rsidP="0048057D">
      <w:pPr>
        <w:pStyle w:val="a8"/>
        <w:numPr>
          <w:ilvl w:val="0"/>
          <w:numId w:val="6"/>
        </w:numPr>
        <w:ind w:firstLineChars="0"/>
        <w:outlineLvl w:val="1"/>
        <w:rPr>
          <w:b/>
        </w:rPr>
      </w:pPr>
      <w:r w:rsidRPr="00BE594E">
        <w:rPr>
          <w:b/>
        </w:rPr>
        <w:t>途胜LN-Line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F84B45" w14:paraId="12315D90" w14:textId="77777777" w:rsidTr="005A21B5">
        <w:trPr>
          <w:tblCellSpacing w:w="15" w:type="dxa"/>
        </w:trPr>
        <w:tc>
          <w:tcPr>
            <w:tcW w:w="0" w:type="auto"/>
            <w:tcBorders>
              <w:top w:val="nil"/>
              <w:left w:val="nil"/>
              <w:bottom w:val="nil"/>
              <w:right w:val="nil"/>
            </w:tcBorders>
            <w:hideMark/>
          </w:tcPr>
          <w:p w14:paraId="09370B0B" w14:textId="77777777" w:rsidR="0071786F" w:rsidRPr="00F84B45"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1FAF4FC8" w14:textId="77777777" w:rsidR="0071786F" w:rsidRPr="00F84B45" w:rsidRDefault="0071786F" w:rsidP="005A21B5">
            <w:pPr>
              <w:widowControl/>
              <w:jc w:val="left"/>
              <w:rPr>
                <w:rFonts w:ascii="微软雅黑" w:eastAsia="微软雅黑" w:hAnsi="微软雅黑" w:cs="宋体"/>
                <w:color w:val="000000"/>
                <w:kern w:val="0"/>
                <w:sz w:val="27"/>
                <w:szCs w:val="27"/>
              </w:rPr>
            </w:pPr>
            <w:r w:rsidRPr="00F84B45">
              <w:rPr>
                <w:rFonts w:ascii="微软雅黑" w:eastAsia="微软雅黑" w:hAnsi="微软雅黑" w:cs="宋体"/>
                <w:noProof/>
                <w:color w:val="000000"/>
                <w:kern w:val="0"/>
                <w:sz w:val="27"/>
                <w:szCs w:val="27"/>
              </w:rPr>
              <w:drawing>
                <wp:inline distT="0" distB="0" distL="0" distR="0" wp14:anchorId="4E2B9DC3" wp14:editId="7975690C">
                  <wp:extent cx="1800000" cy="944783"/>
                  <wp:effectExtent l="0" t="0" r="0" b="8255"/>
                  <wp:docPr id="8" name="图片 8" descr="http://58.246.65.10:8231/UploadFile/20211122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112208.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44783"/>
                          </a:xfrm>
                          <a:prstGeom prst="rect">
                            <a:avLst/>
                          </a:prstGeom>
                          <a:noFill/>
                          <a:ln>
                            <a:noFill/>
                          </a:ln>
                        </pic:spPr>
                      </pic:pic>
                    </a:graphicData>
                  </a:graphic>
                </wp:inline>
              </w:drawing>
            </w:r>
          </w:p>
        </w:tc>
        <w:tc>
          <w:tcPr>
            <w:tcW w:w="0" w:type="auto"/>
            <w:tcBorders>
              <w:top w:val="nil"/>
              <w:left w:val="nil"/>
              <w:bottom w:val="nil"/>
              <w:right w:val="nil"/>
            </w:tcBorders>
            <w:hideMark/>
          </w:tcPr>
          <w:p w14:paraId="23947AA2" w14:textId="77777777" w:rsidR="0071786F" w:rsidRPr="00F84B45" w:rsidRDefault="0071786F" w:rsidP="005A21B5">
            <w:pPr>
              <w:widowControl/>
              <w:jc w:val="left"/>
              <w:rPr>
                <w:rFonts w:ascii="微软雅黑" w:eastAsia="微软雅黑" w:hAnsi="微软雅黑" w:cs="宋体"/>
                <w:color w:val="000000"/>
                <w:kern w:val="0"/>
                <w:sz w:val="27"/>
                <w:szCs w:val="27"/>
              </w:rPr>
            </w:pPr>
          </w:p>
        </w:tc>
      </w:tr>
    </w:tbl>
    <w:p w14:paraId="0ADF2672" w14:textId="77777777" w:rsidR="0071786F" w:rsidRDefault="0071786F" w:rsidP="0048057D">
      <w:r>
        <w:t>11月19日，途胜LN-Line上市，新车售价为18.78万元。</w:t>
      </w:r>
    </w:p>
    <w:p w14:paraId="2DD2A1AE" w14:textId="77777777" w:rsidR="0071786F" w:rsidRDefault="0071786F" w:rsidP="0048057D">
      <w:r>
        <w:rPr>
          <w:rFonts w:hint="eastAsia"/>
        </w:rPr>
        <w:t>外观方面，新车采用亮黑色前进气格栅和中网、贯穿式尾灯组、车尾扰流板。</w:t>
      </w:r>
    </w:p>
    <w:p w14:paraId="049167E2" w14:textId="77777777" w:rsidR="0071786F" w:rsidRDefault="0071786F" w:rsidP="0048057D">
      <w:r>
        <w:rPr>
          <w:rFonts w:hint="eastAsia"/>
        </w:rPr>
        <w:t>内饰方面，新车采用全液晶仪表盘、内嵌式中控屏、电子换挡。</w:t>
      </w:r>
    </w:p>
    <w:p w14:paraId="2A056B41" w14:textId="751A7A97" w:rsidR="0071786F" w:rsidRPr="00752901" w:rsidRDefault="0071786F" w:rsidP="0048057D">
      <w:r>
        <w:rPr>
          <w:rFonts w:hint="eastAsia"/>
        </w:rPr>
        <w:t>动力方面，新车搭载</w:t>
      </w:r>
      <w:r>
        <w:t>1.5T发动机，匹配7DCT变速箱。</w:t>
      </w:r>
    </w:p>
    <w:p w14:paraId="2CF05FFA" w14:textId="77777777" w:rsidR="0071786F" w:rsidRPr="00BE594E" w:rsidRDefault="0071786F" w:rsidP="0048057D">
      <w:pPr>
        <w:pStyle w:val="a8"/>
        <w:numPr>
          <w:ilvl w:val="0"/>
          <w:numId w:val="6"/>
        </w:numPr>
        <w:ind w:firstLineChars="0"/>
        <w:outlineLvl w:val="1"/>
        <w:rPr>
          <w:b/>
        </w:rPr>
      </w:pPr>
      <w:r w:rsidRPr="00BE594E">
        <w:rPr>
          <w:b/>
        </w:rPr>
        <w:t>途胜L</w:t>
      </w:r>
      <w:r>
        <w:rPr>
          <w:b/>
        </w:rPr>
        <w:t>混动版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F84B45" w14:paraId="34514CB4" w14:textId="77777777" w:rsidTr="005A21B5">
        <w:trPr>
          <w:tblCellSpacing w:w="15" w:type="dxa"/>
        </w:trPr>
        <w:tc>
          <w:tcPr>
            <w:tcW w:w="0" w:type="auto"/>
            <w:tcBorders>
              <w:top w:val="nil"/>
              <w:left w:val="nil"/>
              <w:bottom w:val="nil"/>
              <w:right w:val="nil"/>
            </w:tcBorders>
            <w:hideMark/>
          </w:tcPr>
          <w:p w14:paraId="1C9EB89D" w14:textId="77777777" w:rsidR="0071786F" w:rsidRPr="00F84B45"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101D1AC2" w14:textId="77777777" w:rsidR="0071786F" w:rsidRPr="00F84B45" w:rsidRDefault="0071786F" w:rsidP="005A21B5">
            <w:pPr>
              <w:widowControl/>
              <w:jc w:val="left"/>
              <w:rPr>
                <w:rFonts w:ascii="微软雅黑" w:eastAsia="微软雅黑" w:hAnsi="微软雅黑" w:cs="宋体"/>
                <w:color w:val="000000"/>
                <w:kern w:val="0"/>
                <w:sz w:val="27"/>
                <w:szCs w:val="27"/>
              </w:rPr>
            </w:pPr>
            <w:r w:rsidRPr="00F84B45">
              <w:rPr>
                <w:rFonts w:ascii="微软雅黑" w:eastAsia="微软雅黑" w:hAnsi="微软雅黑" w:cs="宋体"/>
                <w:noProof/>
                <w:color w:val="000000"/>
                <w:kern w:val="0"/>
                <w:sz w:val="27"/>
                <w:szCs w:val="27"/>
              </w:rPr>
              <w:drawing>
                <wp:inline distT="0" distB="0" distL="0" distR="0" wp14:anchorId="71816E81" wp14:editId="2448702C">
                  <wp:extent cx="1800000" cy="951656"/>
                  <wp:effectExtent l="0" t="0" r="0" b="1270"/>
                  <wp:docPr id="7" name="图片 7" descr="http://58.246.65.10:8231/UploadFile/2021112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112207.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951656"/>
                          </a:xfrm>
                          <a:prstGeom prst="rect">
                            <a:avLst/>
                          </a:prstGeom>
                          <a:noFill/>
                          <a:ln>
                            <a:noFill/>
                          </a:ln>
                        </pic:spPr>
                      </pic:pic>
                    </a:graphicData>
                  </a:graphic>
                </wp:inline>
              </w:drawing>
            </w:r>
          </w:p>
        </w:tc>
        <w:tc>
          <w:tcPr>
            <w:tcW w:w="0" w:type="auto"/>
            <w:tcBorders>
              <w:top w:val="nil"/>
              <w:left w:val="nil"/>
              <w:bottom w:val="nil"/>
              <w:right w:val="nil"/>
            </w:tcBorders>
            <w:hideMark/>
          </w:tcPr>
          <w:p w14:paraId="47982F09" w14:textId="77777777" w:rsidR="0071786F" w:rsidRPr="00F84B45" w:rsidRDefault="0071786F" w:rsidP="005A21B5">
            <w:pPr>
              <w:widowControl/>
              <w:jc w:val="left"/>
              <w:rPr>
                <w:rFonts w:ascii="微软雅黑" w:eastAsia="微软雅黑" w:hAnsi="微软雅黑" w:cs="宋体"/>
                <w:color w:val="000000"/>
                <w:kern w:val="0"/>
                <w:sz w:val="27"/>
                <w:szCs w:val="27"/>
              </w:rPr>
            </w:pPr>
          </w:p>
        </w:tc>
      </w:tr>
    </w:tbl>
    <w:p w14:paraId="2DF86677" w14:textId="77777777" w:rsidR="0071786F" w:rsidRDefault="0071786F" w:rsidP="0048057D">
      <w:r>
        <w:t>11月19日，途胜L混动版上市，新车共推3款，售价区间为18.58万-22.58万元。</w:t>
      </w:r>
    </w:p>
    <w:p w14:paraId="2D7FAB3D" w14:textId="77777777" w:rsidR="0071786F" w:rsidRDefault="0071786F" w:rsidP="0048057D">
      <w:r>
        <w:rPr>
          <w:rFonts w:hint="eastAsia"/>
        </w:rPr>
        <w:t>外观方面，新车采用分体式头灯、獠牙式尾灯组、</w:t>
      </w:r>
      <w:r>
        <w:t>hybrid徽标。</w:t>
      </w:r>
    </w:p>
    <w:p w14:paraId="42ADD807" w14:textId="549BC004" w:rsidR="0071786F" w:rsidRPr="00752901" w:rsidRDefault="0071786F" w:rsidP="0048057D">
      <w:r>
        <w:rPr>
          <w:rFonts w:hint="eastAsia"/>
        </w:rPr>
        <w:t>动力方面，新车搭载由</w:t>
      </w:r>
      <w:r>
        <w:t>2.0L发动机和电动机组成的混动系统，匹配7DCT变速箱。</w:t>
      </w:r>
    </w:p>
    <w:p w14:paraId="22456CB2" w14:textId="77777777" w:rsidR="0071786F" w:rsidRPr="004A02AB" w:rsidRDefault="0071786F" w:rsidP="0048057D">
      <w:pPr>
        <w:pStyle w:val="a8"/>
        <w:numPr>
          <w:ilvl w:val="0"/>
          <w:numId w:val="6"/>
        </w:numPr>
        <w:ind w:firstLineChars="0"/>
        <w:outlineLvl w:val="1"/>
        <w:rPr>
          <w:b/>
        </w:rPr>
      </w:pPr>
      <w:r w:rsidRPr="004A02AB">
        <w:rPr>
          <w:b/>
        </w:rPr>
        <w:t>新款别克微蓝6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1786F" w:rsidRPr="001D2FE3" w14:paraId="23307A30" w14:textId="77777777" w:rsidTr="005A21B5">
        <w:trPr>
          <w:tblCellSpacing w:w="15" w:type="dxa"/>
        </w:trPr>
        <w:tc>
          <w:tcPr>
            <w:tcW w:w="0" w:type="auto"/>
            <w:tcBorders>
              <w:top w:val="nil"/>
              <w:left w:val="nil"/>
              <w:bottom w:val="nil"/>
              <w:right w:val="nil"/>
            </w:tcBorders>
            <w:hideMark/>
          </w:tcPr>
          <w:p w14:paraId="5C67AE92" w14:textId="77777777" w:rsidR="0071786F" w:rsidRPr="001D2FE3" w:rsidRDefault="0071786F" w:rsidP="005A21B5">
            <w:pPr>
              <w:widowControl/>
              <w:jc w:val="left"/>
              <w:rPr>
                <w:rFonts w:ascii="宋体" w:eastAsia="宋体" w:hAnsi="宋体" w:cs="宋体"/>
                <w:kern w:val="0"/>
                <w:sz w:val="24"/>
              </w:rPr>
            </w:pPr>
          </w:p>
        </w:tc>
        <w:tc>
          <w:tcPr>
            <w:tcW w:w="0" w:type="auto"/>
            <w:tcBorders>
              <w:top w:val="nil"/>
              <w:left w:val="nil"/>
              <w:bottom w:val="nil"/>
              <w:right w:val="nil"/>
            </w:tcBorders>
            <w:hideMark/>
          </w:tcPr>
          <w:p w14:paraId="10A102F0" w14:textId="77777777" w:rsidR="0071786F" w:rsidRPr="001D2FE3" w:rsidRDefault="0071786F" w:rsidP="005A21B5">
            <w:pPr>
              <w:widowControl/>
              <w:jc w:val="left"/>
              <w:rPr>
                <w:rFonts w:ascii="微软雅黑" w:eastAsia="微软雅黑" w:hAnsi="微软雅黑" w:cs="宋体"/>
                <w:color w:val="000000"/>
                <w:kern w:val="0"/>
                <w:sz w:val="27"/>
                <w:szCs w:val="27"/>
              </w:rPr>
            </w:pPr>
            <w:r w:rsidRPr="001D2FE3">
              <w:rPr>
                <w:rFonts w:ascii="微软雅黑" w:eastAsia="微软雅黑" w:hAnsi="微软雅黑" w:cs="宋体"/>
                <w:noProof/>
                <w:color w:val="000000"/>
                <w:kern w:val="0"/>
                <w:sz w:val="27"/>
                <w:szCs w:val="27"/>
              </w:rPr>
              <w:drawing>
                <wp:inline distT="0" distB="0" distL="0" distR="0" wp14:anchorId="00F1208C" wp14:editId="0C702E54">
                  <wp:extent cx="1800000" cy="967554"/>
                  <wp:effectExtent l="0" t="0" r="0" b="4445"/>
                  <wp:docPr id="49" name="图片 49" descr="http://58.246.65.10:8231/UploadFile/2021112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58.246.65.10:8231/UploadFile/202111260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967554"/>
                          </a:xfrm>
                          <a:prstGeom prst="rect">
                            <a:avLst/>
                          </a:prstGeom>
                          <a:noFill/>
                          <a:ln>
                            <a:noFill/>
                          </a:ln>
                        </pic:spPr>
                      </pic:pic>
                    </a:graphicData>
                  </a:graphic>
                </wp:inline>
              </w:drawing>
            </w:r>
          </w:p>
        </w:tc>
        <w:tc>
          <w:tcPr>
            <w:tcW w:w="0" w:type="auto"/>
            <w:tcBorders>
              <w:top w:val="nil"/>
              <w:left w:val="nil"/>
              <w:bottom w:val="nil"/>
              <w:right w:val="nil"/>
            </w:tcBorders>
            <w:hideMark/>
          </w:tcPr>
          <w:p w14:paraId="0BFA7A3F" w14:textId="77777777" w:rsidR="0071786F" w:rsidRPr="001D2FE3" w:rsidRDefault="0071786F" w:rsidP="005A21B5">
            <w:pPr>
              <w:widowControl/>
              <w:jc w:val="left"/>
              <w:rPr>
                <w:rFonts w:ascii="微软雅黑" w:eastAsia="微软雅黑" w:hAnsi="微软雅黑" w:cs="宋体"/>
                <w:color w:val="000000"/>
                <w:kern w:val="0"/>
                <w:sz w:val="27"/>
                <w:szCs w:val="27"/>
              </w:rPr>
            </w:pPr>
          </w:p>
        </w:tc>
      </w:tr>
    </w:tbl>
    <w:p w14:paraId="15CC38DD" w14:textId="77777777" w:rsidR="0071786F" w:rsidRDefault="0071786F" w:rsidP="0048057D">
      <w:r>
        <w:t>11月25日，新款别克微蓝6上市，新车共推3款，补贴后售价区间为15.99万-17.89万元，享受国补1.8万元。</w:t>
      </w:r>
    </w:p>
    <w:p w14:paraId="56AE3D51" w14:textId="77777777" w:rsidR="0071786F" w:rsidRDefault="0071786F" w:rsidP="0048057D">
      <w:r>
        <w:rPr>
          <w:rFonts w:hint="eastAsia"/>
        </w:rPr>
        <w:t>外观方面，新车与现款车型基本保持一致。</w:t>
      </w:r>
    </w:p>
    <w:p w14:paraId="75732DC1" w14:textId="77777777" w:rsidR="0071786F" w:rsidRDefault="0071786F" w:rsidP="0048057D">
      <w:r>
        <w:rPr>
          <w:rFonts w:hint="eastAsia"/>
        </w:rPr>
        <w:t>动力方面，新车搭载纯电动机，</w:t>
      </w:r>
      <w:r>
        <w:t>CLTC综合续航里程达518km。</w:t>
      </w:r>
    </w:p>
    <w:p w14:paraId="5EAF4371" w14:textId="437C1F60" w:rsidR="0071786F" w:rsidRDefault="0071786F" w:rsidP="0048057D">
      <w:pPr>
        <w:rPr>
          <w:rFonts w:cs="宋体"/>
          <w:b/>
          <w:bCs/>
          <w:i/>
          <w:iCs/>
        </w:rPr>
      </w:pPr>
    </w:p>
    <w:p w14:paraId="03808D59" w14:textId="77777777" w:rsidR="0048057D" w:rsidRPr="00DA5660" w:rsidRDefault="0048057D" w:rsidP="0048057D">
      <w:pPr>
        <w:pStyle w:val="a8"/>
        <w:numPr>
          <w:ilvl w:val="0"/>
          <w:numId w:val="14"/>
        </w:numPr>
        <w:ind w:firstLineChars="0"/>
        <w:outlineLvl w:val="0"/>
        <w:rPr>
          <w:b/>
        </w:rPr>
      </w:pPr>
      <w:r w:rsidRPr="00C97499">
        <w:rPr>
          <w:rFonts w:cs="宋体" w:hint="eastAsia"/>
          <w:b/>
          <w:bCs/>
        </w:rPr>
        <w:t>宏观经济与政策</w:t>
      </w:r>
    </w:p>
    <w:p w14:paraId="32D067BD" w14:textId="77777777" w:rsidR="0071786F" w:rsidRPr="00BA33AB" w:rsidRDefault="0071786F" w:rsidP="0048057D">
      <w:pPr>
        <w:pStyle w:val="a8"/>
        <w:numPr>
          <w:ilvl w:val="0"/>
          <w:numId w:val="15"/>
        </w:numPr>
        <w:ind w:firstLineChars="0"/>
        <w:outlineLvl w:val="1"/>
        <w:rPr>
          <w:b/>
        </w:rPr>
      </w:pPr>
      <w:r w:rsidRPr="00BA33AB">
        <w:rPr>
          <w:rFonts w:hint="eastAsia"/>
          <w:b/>
        </w:rPr>
        <w:t>财政部：前</w:t>
      </w:r>
      <w:r w:rsidRPr="00BA33AB">
        <w:rPr>
          <w:b/>
        </w:rPr>
        <w:t>10个月国有企业利润总额同比增长47.6%</w:t>
      </w:r>
    </w:p>
    <w:p w14:paraId="2C43C979" w14:textId="38544D45" w:rsidR="0071786F" w:rsidRPr="00752901" w:rsidRDefault="0071786F" w:rsidP="0048057D">
      <w:r>
        <w:t>1-10月，国有企业营业总收入603,860.0亿元，同比增长22.1%，两年平均增长9.7%；利润总额38,250.4亿元，同比增长47.6%，两年平均增长14.1%。</w:t>
      </w:r>
    </w:p>
    <w:p w14:paraId="3F94EB85" w14:textId="77777777" w:rsidR="0071786F" w:rsidRPr="00BE594E" w:rsidRDefault="0071786F" w:rsidP="0048057D">
      <w:pPr>
        <w:pStyle w:val="a8"/>
        <w:numPr>
          <w:ilvl w:val="0"/>
          <w:numId w:val="15"/>
        </w:numPr>
        <w:ind w:firstLineChars="0"/>
        <w:outlineLvl w:val="1"/>
        <w:rPr>
          <w:b/>
        </w:rPr>
      </w:pPr>
      <w:r w:rsidRPr="00BE594E">
        <w:rPr>
          <w:rFonts w:hint="eastAsia"/>
          <w:b/>
        </w:rPr>
        <w:t>财政部：前</w:t>
      </w:r>
      <w:r w:rsidRPr="00BE594E">
        <w:rPr>
          <w:b/>
        </w:rPr>
        <w:t>10个月全国财政收入同比增长14.5%</w:t>
      </w:r>
    </w:p>
    <w:p w14:paraId="41001102" w14:textId="3DB74421" w:rsidR="0071786F" w:rsidRPr="00752901" w:rsidRDefault="0071786F" w:rsidP="0048057D">
      <w:r>
        <w:t>前10个月，全国一般公共预算收入181,526亿元，同比增长14.5%；全国一般公共预算支出193,961亿元，同比增长2.4%。</w:t>
      </w:r>
    </w:p>
    <w:p w14:paraId="3A994362" w14:textId="7EA331CB" w:rsidR="0071786F" w:rsidRPr="00752901" w:rsidRDefault="00752901" w:rsidP="00752901">
      <w:pPr>
        <w:outlineLvl w:val="1"/>
        <w:rPr>
          <w:b/>
        </w:rPr>
      </w:pPr>
      <w:r>
        <w:rPr>
          <w:rFonts w:hint="eastAsia"/>
          <w:b/>
        </w:rPr>
        <w:t>3</w:t>
      </w:r>
      <w:r>
        <w:rPr>
          <w:b/>
        </w:rPr>
        <w:t>.</w:t>
      </w:r>
      <w:r w:rsidR="0071786F" w:rsidRPr="00752901">
        <w:rPr>
          <w:rFonts w:hint="eastAsia"/>
          <w:b/>
        </w:rPr>
        <w:t>工信部</w:t>
      </w:r>
      <w:r w:rsidR="0071786F" w:rsidRPr="00752901">
        <w:rPr>
          <w:b/>
        </w:rPr>
        <w:t>:规范提升动力电池生产质量</w:t>
      </w:r>
    </w:p>
    <w:p w14:paraId="2DAEDE57" w14:textId="7825E29A" w:rsidR="0071786F" w:rsidRPr="00752901" w:rsidRDefault="0071786F" w:rsidP="0071786F">
      <w:r w:rsidRPr="007856F3">
        <w:rPr>
          <w:rFonts w:hint="eastAsia"/>
        </w:rPr>
        <w:t>工信部电子信息司发布《锂离子电池行业规范条件（</w:t>
      </w:r>
      <w:r w:rsidRPr="007856F3">
        <w:t>2021年本）》（征求意见稿），根据意见稿要求，新建设的动力电池项目中，能量型动力电池项目单体能量密度应≥180Wh/kg，电池组能量密度应≥120Wh/kg。分析认为，目前市场主流磷酸铁锂电池单体能量密度在160Wh/kg左右，《规范条件》如果实施，或对磷酸铁锂电池动力项目扩产产生一定影响。</w:t>
      </w:r>
    </w:p>
    <w:p w14:paraId="289479A3" w14:textId="7C1CBEC7" w:rsidR="0071786F" w:rsidRPr="00752901" w:rsidRDefault="00752901" w:rsidP="00752901">
      <w:pPr>
        <w:outlineLvl w:val="1"/>
        <w:rPr>
          <w:b/>
        </w:rPr>
      </w:pPr>
      <w:r>
        <w:rPr>
          <w:rFonts w:hint="eastAsia"/>
          <w:b/>
        </w:rPr>
        <w:t>4</w:t>
      </w:r>
      <w:r>
        <w:rPr>
          <w:b/>
        </w:rPr>
        <w:t>.</w:t>
      </w:r>
      <w:r w:rsidR="0071786F" w:rsidRPr="00752901">
        <w:rPr>
          <w:rFonts w:hint="eastAsia"/>
          <w:b/>
        </w:rPr>
        <w:t>工信部</w:t>
      </w:r>
      <w:r w:rsidR="0071786F" w:rsidRPr="00752901">
        <w:rPr>
          <w:b/>
        </w:rPr>
        <w:t>:将启动“双积分”政策修订工作</w:t>
      </w:r>
    </w:p>
    <w:p w14:paraId="630B275F" w14:textId="77777777" w:rsidR="0071786F" w:rsidRDefault="0071786F" w:rsidP="0071786F">
      <w:r>
        <w:rPr>
          <w:rFonts w:hint="eastAsia"/>
        </w:rPr>
        <w:t>工信部联同多部门组织召开《乘用车企业平均燃料消耗量与新能源汽车积分并行管理办法》管理工作座谈会。</w:t>
      </w:r>
    </w:p>
    <w:p w14:paraId="3DF25A74" w14:textId="77777777" w:rsidR="0071786F" w:rsidRDefault="0071786F" w:rsidP="0071786F">
      <w:r>
        <w:rPr>
          <w:rFonts w:hint="eastAsia"/>
        </w:rPr>
        <w:t>装备工业一司表示，要科学合理设定后续年度积分比例要求，探索建立灵活性机制，将会同相关部门司局启动《积分办法》修订工作。</w:t>
      </w:r>
    </w:p>
    <w:p w14:paraId="2593DFE9" w14:textId="3142DCBF" w:rsidR="0071786F" w:rsidRPr="00752901" w:rsidRDefault="0071786F" w:rsidP="0071786F">
      <w:r>
        <w:rPr>
          <w:rFonts w:hint="eastAsia"/>
        </w:rPr>
        <w:t>工作过程中将广泛听取行业企业意见，开门开放制定政策，为产业发展营造良好环境。</w:t>
      </w:r>
    </w:p>
    <w:p w14:paraId="3501C649" w14:textId="3EEA179F" w:rsidR="0071786F" w:rsidRPr="00752901" w:rsidRDefault="00752901" w:rsidP="00752901">
      <w:pPr>
        <w:outlineLvl w:val="1"/>
        <w:rPr>
          <w:b/>
        </w:rPr>
      </w:pPr>
      <w:r>
        <w:rPr>
          <w:rFonts w:hint="eastAsia"/>
          <w:b/>
        </w:rPr>
        <w:t>5</w:t>
      </w:r>
      <w:r>
        <w:rPr>
          <w:b/>
        </w:rPr>
        <w:t>.</w:t>
      </w:r>
      <w:r w:rsidR="0071786F" w:rsidRPr="00752901">
        <w:rPr>
          <w:rFonts w:hint="eastAsia"/>
          <w:b/>
        </w:rPr>
        <w:t>公开征求对《客车结构安全要求》等</w:t>
      </w:r>
      <w:r w:rsidR="0071786F" w:rsidRPr="00752901">
        <w:rPr>
          <w:b/>
        </w:rPr>
        <w:t>5项强制性国家标准（报批稿）的意见</w:t>
      </w:r>
    </w:p>
    <w:p w14:paraId="2020B3CA" w14:textId="77777777" w:rsidR="0071786F" w:rsidRDefault="0071786F" w:rsidP="0071786F">
      <w:r>
        <w:rPr>
          <w:rFonts w:hint="eastAsia"/>
        </w:rPr>
        <w:t>《客车结构安全要求》第</w:t>
      </w:r>
      <w:r>
        <w:t>1号修改单的修改之处共两个方面。一是增加了驾驶区隔离设施的要求；二是修改座垫高度、座椅前方空间和座椅上方空间的技术要求。本次修改后，实施需要的技术改造和成本投入较低，发布后至实施日期之间企业可以立即实施，老旧产品不需立即退出市场，可继续使用，自然淘汰。</w:t>
      </w:r>
    </w:p>
    <w:p w14:paraId="219E1AFC" w14:textId="77777777" w:rsidR="0071786F" w:rsidRDefault="0071786F" w:rsidP="0071786F">
      <w:r>
        <w:rPr>
          <w:rFonts w:hint="eastAsia"/>
        </w:rPr>
        <w:t>《汽车和挂车号牌板</w:t>
      </w:r>
      <w:r>
        <w:t>(架)及其位置》第1号修改单的修改之处是，将5.2.2条，修改为：“5.2.2安装于后号牌板（架）上的号牌应基本垂直于水平面。后号牌不应下俯，如需上仰，在整车整备质量状态下，纵向夹角应不大于15°”。</w:t>
      </w:r>
    </w:p>
    <w:p w14:paraId="4A64844C" w14:textId="7D85BED1" w:rsidR="0071786F" w:rsidRPr="00752901" w:rsidRDefault="0071786F" w:rsidP="0071786F">
      <w:r>
        <w:rPr>
          <w:rFonts w:hint="eastAsia"/>
        </w:rPr>
        <w:t>机动车辆</w:t>
      </w:r>
      <w:r>
        <w:t>间接视野装置性能和安装要求（报批稿）的主要内容包括：范围、规范性引用文件、术语和定义、技术要求、试验方法、安装要求、CMS安装要求、同一型式判定、实施过渡期等共九章</w:t>
      </w:r>
    </w:p>
    <w:p w14:paraId="0D3440E3" w14:textId="4514C987" w:rsidR="0071786F" w:rsidRPr="00752901" w:rsidRDefault="00752901" w:rsidP="00752901">
      <w:pPr>
        <w:outlineLvl w:val="1"/>
        <w:rPr>
          <w:b/>
        </w:rPr>
      </w:pPr>
      <w:r>
        <w:rPr>
          <w:rFonts w:hint="eastAsia"/>
          <w:b/>
        </w:rPr>
        <w:t>6</w:t>
      </w:r>
      <w:r>
        <w:rPr>
          <w:b/>
        </w:rPr>
        <w:t>.</w:t>
      </w:r>
      <w:r w:rsidR="0071786F" w:rsidRPr="00752901">
        <w:rPr>
          <w:rFonts w:hint="eastAsia"/>
          <w:b/>
        </w:rPr>
        <w:t>国家反垄断局发布最新公告</w:t>
      </w:r>
      <w:r w:rsidR="0071786F" w:rsidRPr="00752901">
        <w:rPr>
          <w:b/>
        </w:rPr>
        <w:t>两家车企被罚</w:t>
      </w:r>
    </w:p>
    <w:p w14:paraId="1E7F48DC" w14:textId="28DA3E14" w:rsidR="0071786F" w:rsidRPr="00752901" w:rsidRDefault="0071786F" w:rsidP="0071786F">
      <w:r>
        <w:rPr>
          <w:rFonts w:hint="eastAsia"/>
        </w:rPr>
        <w:t>从国家市场监督管理总局反垄断局官方获悉，其连发</w:t>
      </w:r>
      <w:r>
        <w:t>43起行政处罚案件，对43起未依法申报违法实施经营者集中案件立案调查。经查，上述案件均违反了《中华人民共和国反垄断法》第二十一条，构成未依法申报违法实施经营者集中，评估认为不具有排除、限制竞争效果。从反垄断局了解到，吉利控股以及比亚迪汽车均被处罚。</w:t>
      </w:r>
    </w:p>
    <w:p w14:paraId="141ADDE4" w14:textId="4F611CD0" w:rsidR="0071786F" w:rsidRPr="00752901" w:rsidRDefault="00752901" w:rsidP="00752901">
      <w:pPr>
        <w:outlineLvl w:val="1"/>
        <w:rPr>
          <w:b/>
        </w:rPr>
      </w:pPr>
      <w:r>
        <w:rPr>
          <w:rFonts w:hint="eastAsia"/>
          <w:b/>
        </w:rPr>
        <w:t>7</w:t>
      </w:r>
      <w:r>
        <w:rPr>
          <w:b/>
        </w:rPr>
        <w:t>.</w:t>
      </w:r>
      <w:r w:rsidR="0071786F" w:rsidRPr="00752901">
        <w:rPr>
          <w:rFonts w:hint="eastAsia"/>
          <w:b/>
        </w:rPr>
        <w:t>杭州将推出针对</w:t>
      </w:r>
      <w:r w:rsidR="0071786F" w:rsidRPr="00752901">
        <w:rPr>
          <w:b/>
        </w:rPr>
        <w:t>11种机动车违法行为的“优驾容错3.0”措施</w:t>
      </w:r>
    </w:p>
    <w:p w14:paraId="7292BEA6" w14:textId="1EF566DA" w:rsidR="0071786F" w:rsidRPr="00752901" w:rsidRDefault="0071786F" w:rsidP="0071786F">
      <w:r>
        <w:rPr>
          <w:rFonts w:hint="eastAsia"/>
        </w:rPr>
        <w:t>从杭州市交警部门获悉，</w:t>
      </w:r>
      <w:r>
        <w:t>12月起，杭州交警将推出针对11种机动车违法行为的“优驾容错3.0”措施，在不发生事故的前提下，如驾驶人连续3个月以上在杭州市范围内无某种违法记录，首次发生该种违法行为免罚。</w:t>
      </w:r>
    </w:p>
    <w:p w14:paraId="02A8E8FC" w14:textId="669F13B0" w:rsidR="0071786F" w:rsidRPr="00752901" w:rsidRDefault="00752901" w:rsidP="00752901">
      <w:pPr>
        <w:outlineLvl w:val="1"/>
        <w:rPr>
          <w:b/>
        </w:rPr>
      </w:pPr>
      <w:r>
        <w:rPr>
          <w:rFonts w:hint="eastAsia"/>
          <w:b/>
        </w:rPr>
        <w:t>8</w:t>
      </w:r>
      <w:r>
        <w:rPr>
          <w:b/>
        </w:rPr>
        <w:t>.</w:t>
      </w:r>
      <w:r w:rsidR="0071786F" w:rsidRPr="00752901">
        <w:rPr>
          <w:rFonts w:hint="eastAsia"/>
          <w:b/>
        </w:rPr>
        <w:t>特别公示道路机动车辆生产企业名录（截至</w:t>
      </w:r>
      <w:r w:rsidR="0071786F" w:rsidRPr="00752901">
        <w:rPr>
          <w:b/>
        </w:rPr>
        <w:t>2021年11月）</w:t>
      </w:r>
    </w:p>
    <w:p w14:paraId="5AB12956" w14:textId="4D4643C9" w:rsidR="0071786F" w:rsidRPr="00752901" w:rsidRDefault="0071786F" w:rsidP="0071786F">
      <w:r>
        <w:rPr>
          <w:rFonts w:hint="eastAsia"/>
        </w:rPr>
        <w:t>列入《特别公示道路机动车辆生产企业名录（截至</w:t>
      </w:r>
      <w:r>
        <w:t>2021年11月）》的汽车生产企业共397家。其中，乘用车生产企业5家、客车生产企业10家、改装类客车生产企业45家、货车生产企业5家、通用货车挂车生产企业330家、新能源汽车生产企业2家、运输类专用车生产企业12家。另外，摩托车生产企业24家。</w:t>
      </w:r>
    </w:p>
    <w:p w14:paraId="598BB9D5" w14:textId="2292AEAE" w:rsidR="0071786F" w:rsidRPr="00752901" w:rsidRDefault="00752901" w:rsidP="00752901">
      <w:pPr>
        <w:outlineLvl w:val="1"/>
        <w:rPr>
          <w:b/>
        </w:rPr>
      </w:pPr>
      <w:r>
        <w:rPr>
          <w:rFonts w:hint="eastAsia"/>
          <w:b/>
        </w:rPr>
        <w:t>9</w:t>
      </w:r>
      <w:r>
        <w:rPr>
          <w:b/>
        </w:rPr>
        <w:t>.</w:t>
      </w:r>
      <w:r w:rsidR="0071786F" w:rsidRPr="00752901">
        <w:rPr>
          <w:rFonts w:hint="eastAsia"/>
          <w:b/>
        </w:rPr>
        <w:t>无锡中心区放宽限行</w:t>
      </w:r>
      <w:r w:rsidR="0071786F" w:rsidRPr="00752901">
        <w:rPr>
          <w:b/>
        </w:rPr>
        <w:t>皮卡也放宽权限了</w:t>
      </w:r>
    </w:p>
    <w:p w14:paraId="6065084E" w14:textId="77777777" w:rsidR="0071786F" w:rsidRDefault="0071786F" w:rsidP="0071786F">
      <w:r>
        <w:rPr>
          <w:rFonts w:hint="eastAsia"/>
        </w:rPr>
        <w:t>无锡公安交警调整了部分货车限行区通行时间和通行单办理流程。值得注意的是，中心商务区货车通行申请权限作了放宽调整。</w:t>
      </w:r>
    </w:p>
    <w:p w14:paraId="1EFC6FB4" w14:textId="77777777" w:rsidR="0071786F" w:rsidRDefault="0071786F" w:rsidP="0071786F">
      <w:r>
        <w:rPr>
          <w:rFonts w:hint="eastAsia"/>
        </w:rPr>
        <w:t>调整之后，中心商务区纳入甲级通行限制区域：</w:t>
      </w:r>
    </w:p>
    <w:p w14:paraId="55561E49" w14:textId="77777777" w:rsidR="0071786F" w:rsidRDefault="0071786F" w:rsidP="0071786F">
      <w:r>
        <w:t>1、持有城市高效配送车辆通行单、城市绿色配送车辆通行单、甲通、轻型多用途货车通行单，以及相关临时通行单等的货车均可以驶入中心商务区</w:t>
      </w:r>
    </w:p>
    <w:p w14:paraId="63D4C4D0" w14:textId="77777777" w:rsidR="0071786F" w:rsidRDefault="0071786F" w:rsidP="0071786F">
      <w:r>
        <w:t>2、持有甲通的燃油轻型封闭及厢式货车此次也可以准许进入。</w:t>
      </w:r>
    </w:p>
    <w:p w14:paraId="748F47C9" w14:textId="77777777" w:rsidR="0071786F" w:rsidRDefault="0071786F" w:rsidP="0071786F">
      <w:r>
        <w:rPr>
          <w:rFonts w:hint="eastAsia"/>
        </w:rPr>
        <w:t>除此之外，对皮卡通行也放宽了限行：</w:t>
      </w:r>
    </w:p>
    <w:p w14:paraId="37C1DD43" w14:textId="77777777" w:rsidR="0071786F" w:rsidRDefault="0071786F" w:rsidP="0071786F">
      <w:r>
        <w:t>1、如果行驶证上标注为轻型多用途货车的，可申请轻型多用途货车通行单。</w:t>
      </w:r>
    </w:p>
    <w:p w14:paraId="1EF8B949" w14:textId="799E4282" w:rsidR="0071786F" w:rsidRPr="00752901" w:rsidRDefault="00752901" w:rsidP="0071786F">
      <w:r>
        <w:t>2</w:t>
      </w:r>
      <w:r w:rsidR="0071786F">
        <w:t>、今后除了7时至9时、16时至19时禁止驶入内环、机场等城市快速路和太湖大道隧道及高架段之外，此类货车允许在无锡市区道路通行（含内环、机场等城市快速路）。</w:t>
      </w:r>
    </w:p>
    <w:p w14:paraId="46E8F76B" w14:textId="10B9F56C" w:rsidR="0071786F" w:rsidRDefault="00752901" w:rsidP="00752901">
      <w:pPr>
        <w:outlineLvl w:val="1"/>
      </w:pPr>
      <w:r>
        <w:rPr>
          <w:rFonts w:hint="eastAsia"/>
          <w:b/>
        </w:rPr>
        <w:t>1</w:t>
      </w:r>
      <w:r>
        <w:rPr>
          <w:b/>
        </w:rPr>
        <w:t>0.</w:t>
      </w:r>
      <w:r w:rsidR="0071786F" w:rsidRPr="00752901">
        <w:rPr>
          <w:rFonts w:hint="eastAsia"/>
          <w:b/>
        </w:rPr>
        <w:t>相关法规陆续出台</w:t>
      </w:r>
      <w:r w:rsidR="0071786F" w:rsidRPr="00752901">
        <w:rPr>
          <w:b/>
        </w:rPr>
        <w:t>汽车数据安全红线不断强化</w:t>
      </w:r>
    </w:p>
    <w:p w14:paraId="2FC81FB3" w14:textId="7BA4FFE8" w:rsidR="0071786F" w:rsidRPr="00752901" w:rsidRDefault="0071786F" w:rsidP="0071786F">
      <w:r>
        <w:rPr>
          <w:rFonts w:hint="eastAsia"/>
        </w:rPr>
        <w:t>日前，国家互联网信息办公室（以下简称“国家网信办”）、公安部等五部门联合发布《汽车数据安全管理若干规定（试行）》（以下简称《规定》），自</w:t>
      </w:r>
      <w:r>
        <w:t>10月1日起施行。这是工信部正式发布《关于加强智能网联汽车生产企业及产品准入管理的意见》一周后，相关部门出台的又一加强汽车数据管理的政策文件。《规定》明确提出，汽车数据处理者应当履行个人信息保护责任，充分保护个人信息安全和合法权益；开展个人信息处理活动，汽车数据处理者应当通过显著方式告知个人相关信息，取得个人同意或符合法律、行政法规规定的其他情形；处理敏感个人信息，汽车数据</w:t>
      </w:r>
      <w:r>
        <w:rPr>
          <w:rFonts w:hint="eastAsia"/>
        </w:rPr>
        <w:t>处理者还应当取得个人单独同意，满足限定处理目的、提示收集状态、终止收集等具体要求或符合法律、行政法规和强制性国家标准等其他要求。汽车数据处理者具有增强行车安全的目的和充分的必要性，方可收集指纹、声纹、人脸、心律等生物识别特征信息。</w:t>
      </w:r>
    </w:p>
    <w:p w14:paraId="2B74E2FB" w14:textId="203FC894" w:rsidR="0071786F" w:rsidRPr="00752901" w:rsidRDefault="00752901" w:rsidP="00752901">
      <w:pPr>
        <w:outlineLvl w:val="1"/>
        <w:rPr>
          <w:b/>
        </w:rPr>
      </w:pPr>
      <w:r>
        <w:rPr>
          <w:rFonts w:hint="eastAsia"/>
          <w:b/>
        </w:rPr>
        <w:t>1</w:t>
      </w:r>
      <w:r>
        <w:rPr>
          <w:b/>
        </w:rPr>
        <w:t>1.</w:t>
      </w:r>
      <w:r w:rsidR="0071786F" w:rsidRPr="00752901">
        <w:rPr>
          <w:rFonts w:hint="eastAsia"/>
          <w:b/>
        </w:rPr>
        <w:t>重庆：支持氢燃料电池汽车推广应用</w:t>
      </w:r>
    </w:p>
    <w:p w14:paraId="3E347F91" w14:textId="77777777" w:rsidR="0071786F" w:rsidRDefault="0071786F" w:rsidP="0071786F">
      <w:r>
        <w:rPr>
          <w:rFonts w:hint="eastAsia"/>
        </w:rPr>
        <w:t>重庆市人民政府办公厅印发《重庆市支持氢燃料电池汽车推广应用政策措施（</w:t>
      </w:r>
      <w:r>
        <w:t>2021—2023年）》。《措施》明确加氢站建设补贴：自2021年1月1日起，对纳入全市整体规划并建成运行的前10座加氢站，按建设实际投资（不含土地成本）30％的比例对加氢站投资主体进行补贴，单站补贴金额最高不超过300万元。</w:t>
      </w:r>
    </w:p>
    <w:p w14:paraId="7F0EA2FB" w14:textId="0505AEEC" w:rsidR="0071786F" w:rsidRDefault="0071786F" w:rsidP="0071786F">
      <w:pPr>
        <w:rPr>
          <w:rFonts w:cs="宋体"/>
          <w:b/>
          <w:bCs/>
          <w:i/>
          <w:iCs/>
        </w:rPr>
      </w:pPr>
    </w:p>
    <w:p w14:paraId="6E00C05B" w14:textId="77777777" w:rsidR="0048057D" w:rsidRPr="002009FE" w:rsidRDefault="0048057D" w:rsidP="0048057D">
      <w:pPr>
        <w:pStyle w:val="a8"/>
        <w:numPr>
          <w:ilvl w:val="0"/>
          <w:numId w:val="4"/>
        </w:numPr>
        <w:ind w:firstLineChars="0"/>
        <w:outlineLvl w:val="0"/>
      </w:pPr>
      <w:r>
        <w:rPr>
          <w:rFonts w:cs="宋体" w:hint="eastAsia"/>
          <w:b/>
          <w:bCs/>
        </w:rPr>
        <w:t>企业信息</w:t>
      </w:r>
    </w:p>
    <w:p w14:paraId="06E4E9E2" w14:textId="77777777" w:rsidR="0071786F" w:rsidRPr="00A3723A" w:rsidRDefault="0071786F" w:rsidP="0048057D">
      <w:pPr>
        <w:pStyle w:val="a8"/>
        <w:numPr>
          <w:ilvl w:val="3"/>
          <w:numId w:val="17"/>
        </w:numPr>
        <w:ind w:firstLineChars="0"/>
        <w:jc w:val="left"/>
        <w:outlineLvl w:val="1"/>
        <w:rPr>
          <w:b/>
        </w:rPr>
      </w:pPr>
      <w:r w:rsidRPr="00A3723A">
        <w:rPr>
          <w:b/>
        </w:rPr>
        <w:t>ID.3</w:t>
      </w:r>
      <w:r w:rsidRPr="00A3723A">
        <w:rPr>
          <w:rFonts w:hint="eastAsia"/>
          <w:b/>
        </w:rPr>
        <w:t>不到</w:t>
      </w:r>
      <w:r w:rsidRPr="00A3723A">
        <w:rPr>
          <w:b/>
        </w:rPr>
        <w:t>10万块提走大众推电池租赁方案</w:t>
      </w:r>
    </w:p>
    <w:p w14:paraId="16ED2B7E" w14:textId="77777777" w:rsidR="0071786F" w:rsidRDefault="0071786F" w:rsidP="0048057D">
      <w:r>
        <w:t>10月22日，上汽大众ID.3正式上市，官方指导价为15.9888-17.3888万元，全系续航430公里。据官方公布的宣传海报显示，采用电池租赁方案购车，车价立减6万元，如果购买ID.3纯净版，其原价为15.98万元，减去6万，车价仅需9.98万元，不到10万元提走“ID.3”。</w:t>
      </w:r>
    </w:p>
    <w:p w14:paraId="23AA3094" w14:textId="77777777" w:rsidR="0071786F" w:rsidRDefault="0071786F" w:rsidP="0048057D">
      <w:r>
        <w:rPr>
          <w:rFonts w:hint="eastAsia"/>
        </w:rPr>
        <w:t>不过，值得注意的是，大众</w:t>
      </w:r>
      <w:r>
        <w:t>ID.3不同于蔚来，后者的电池包可以随时拆卸，更换电池，而ID.3并不具备换电能力。因而，其后期使用使用车辆，电池是采用租赁的方式，每月1000元，在“租赁”5年之后，租金6万元，电池和整车的所有权归属车主。</w:t>
      </w:r>
    </w:p>
    <w:p w14:paraId="1F508E7C" w14:textId="5DE1A96B" w:rsidR="0071786F" w:rsidRPr="00752901" w:rsidRDefault="0071786F" w:rsidP="0048057D">
      <w:r>
        <w:rPr>
          <w:rFonts w:hint="eastAsia"/>
        </w:rPr>
        <w:t>所谓的“电池租赁”实则是上汽大众推出的“</w:t>
      </w:r>
      <w:r>
        <w:t>5年免息6万元定额贷”，只不过以电池租赁，车价立减6万元宣传手法包装。但是值得肯定的是，对于一些想要提车的朋友而言，这样的宣传手段也具有不小的诱惑力。</w:t>
      </w:r>
    </w:p>
    <w:p w14:paraId="7076E6E9" w14:textId="77777777" w:rsidR="0071786F" w:rsidRPr="0056265C" w:rsidRDefault="0071786F" w:rsidP="0048057D">
      <w:pPr>
        <w:pStyle w:val="a8"/>
        <w:numPr>
          <w:ilvl w:val="3"/>
          <w:numId w:val="17"/>
        </w:numPr>
        <w:ind w:firstLineChars="0"/>
        <w:jc w:val="left"/>
        <w:outlineLvl w:val="1"/>
        <w:rPr>
          <w:b/>
        </w:rPr>
      </w:pPr>
      <w:r w:rsidRPr="0056265C">
        <w:rPr>
          <w:rFonts w:hint="eastAsia"/>
          <w:b/>
        </w:rPr>
        <w:t>埃安发布星灵架构</w:t>
      </w:r>
      <w:r w:rsidRPr="0056265C">
        <w:rPr>
          <w:b/>
        </w:rPr>
        <w:t>2023将实现L4级自动驾驶</w:t>
      </w:r>
    </w:p>
    <w:p w14:paraId="483A85FD" w14:textId="062445A3" w:rsidR="0071786F" w:rsidRPr="00752901" w:rsidRDefault="0071786F" w:rsidP="0048057D">
      <w:r>
        <w:rPr>
          <w:rFonts w:hint="eastAsia"/>
        </w:rPr>
        <w:t>广汽埃安在广州车展上发布了全新电子电气架构—星灵。在此架构的基础上，计划到</w:t>
      </w:r>
      <w:r>
        <w:t>2023年，埃安将实现L4级自动驾驶，可提供高速+城市路况的全场景自动驾驶体验。</w:t>
      </w:r>
    </w:p>
    <w:p w14:paraId="08331AAC" w14:textId="77777777" w:rsidR="0071786F" w:rsidRPr="00E96AE6" w:rsidRDefault="0071786F" w:rsidP="0048057D">
      <w:pPr>
        <w:pStyle w:val="a8"/>
        <w:numPr>
          <w:ilvl w:val="3"/>
          <w:numId w:val="17"/>
        </w:numPr>
        <w:ind w:firstLineChars="0"/>
        <w:jc w:val="left"/>
        <w:outlineLvl w:val="1"/>
        <w:rPr>
          <w:b/>
        </w:rPr>
      </w:pPr>
      <w:r w:rsidRPr="00E96AE6">
        <w:rPr>
          <w:rFonts w:hint="eastAsia"/>
          <w:b/>
        </w:rPr>
        <w:t>北汽集团关联公司新增网约车经营服务等</w:t>
      </w:r>
    </w:p>
    <w:p w14:paraId="3F3C44FD" w14:textId="6DEA37DA" w:rsidR="0071786F" w:rsidRPr="00752901" w:rsidRDefault="0071786F" w:rsidP="0048057D">
      <w:r>
        <w:rPr>
          <w:rFonts w:hint="eastAsia"/>
        </w:rPr>
        <w:t>从国家企业信用信息公示系统获悉，原云南中油北瑞能源开发有限公司发生工商变更，企业名称变更为云南中油华行能源科技有限公司，股东由北汽云南瑞丽汽车有限公司变更为华夏出行有限公司，同时公司经营范围新增网络预约出租汽车经营服务；二手车经纪；充电桩销售等。</w:t>
      </w:r>
    </w:p>
    <w:p w14:paraId="062F635F" w14:textId="77777777" w:rsidR="0071786F" w:rsidRPr="00B67B63" w:rsidRDefault="0071786F" w:rsidP="0048057D">
      <w:pPr>
        <w:pStyle w:val="a8"/>
        <w:numPr>
          <w:ilvl w:val="3"/>
          <w:numId w:val="17"/>
        </w:numPr>
        <w:ind w:firstLineChars="0"/>
        <w:jc w:val="left"/>
        <w:outlineLvl w:val="1"/>
        <w:rPr>
          <w:b/>
        </w:rPr>
      </w:pPr>
      <w:r w:rsidRPr="00B67B63">
        <w:rPr>
          <w:rFonts w:hint="eastAsia"/>
          <w:b/>
        </w:rPr>
        <w:t>比亚迪将推出高端品牌</w:t>
      </w:r>
      <w:r w:rsidRPr="00B67B63">
        <w:rPr>
          <w:b/>
        </w:rPr>
        <w:t>内部代号“R”</w:t>
      </w:r>
    </w:p>
    <w:p w14:paraId="6303F599" w14:textId="77777777" w:rsidR="0071786F" w:rsidRDefault="0071786F" w:rsidP="006249AF">
      <w:r>
        <w:rPr>
          <w:rFonts w:hint="eastAsia"/>
        </w:rPr>
        <w:t>比亚迪有望于春节前正式公布新的高端品牌。这一全新高端品牌即内部代号为“</w:t>
      </w:r>
      <w:r>
        <w:t>R”的神秘车型，其中R是英文“Revolution”的缩写，意为颠覆与革命作者。</w:t>
      </w:r>
      <w:r>
        <w:rPr>
          <w:rFonts w:hint="eastAsia"/>
        </w:rPr>
        <w:t>高端品牌首款车型为硬派越野车，价格会在</w:t>
      </w:r>
      <w:r>
        <w:t>50万-90万之间，将于2022年上半年发布。</w:t>
      </w:r>
    </w:p>
    <w:p w14:paraId="3CD35B33" w14:textId="6C739965" w:rsidR="0071786F" w:rsidRPr="00752901" w:rsidRDefault="0071786F" w:rsidP="0048057D">
      <w:r>
        <w:rPr>
          <w:rFonts w:hint="eastAsia"/>
        </w:rPr>
        <w:t>另外，据称</w:t>
      </w:r>
      <w:r>
        <w:t>R品牌还将发布轴向轮边电机以及实现“半固态电池”的首发，明年车展将会发布高端品牌的首款车型，2023年初正式上市。</w:t>
      </w:r>
    </w:p>
    <w:p w14:paraId="61218512" w14:textId="77777777" w:rsidR="0071786F" w:rsidRPr="00942B00" w:rsidRDefault="0071786F" w:rsidP="0048057D">
      <w:pPr>
        <w:pStyle w:val="a8"/>
        <w:numPr>
          <w:ilvl w:val="3"/>
          <w:numId w:val="17"/>
        </w:numPr>
        <w:ind w:firstLineChars="0"/>
        <w:jc w:val="left"/>
        <w:outlineLvl w:val="1"/>
        <w:rPr>
          <w:b/>
        </w:rPr>
      </w:pPr>
      <w:r w:rsidRPr="00942B00">
        <w:rPr>
          <w:rFonts w:hint="eastAsia"/>
          <w:b/>
        </w:rPr>
        <w:t>大众安徽</w:t>
      </w:r>
      <w:r w:rsidRPr="00942B00">
        <w:rPr>
          <w:b/>
        </w:rPr>
        <w:t>:首款新能源车型将于2022年下线</w:t>
      </w:r>
    </w:p>
    <w:p w14:paraId="7E1C8C1C" w14:textId="76458416" w:rsidR="0071786F" w:rsidRPr="00752901" w:rsidRDefault="0071786F" w:rsidP="0048057D">
      <w:r w:rsidRPr="0034660D">
        <w:rPr>
          <w:rFonts w:hint="eastAsia"/>
        </w:rPr>
        <w:t>大众安徽</w:t>
      </w:r>
      <w:r w:rsidRPr="0034660D">
        <w:t>CEO葛皖镝博士表示，大众汽车集团正在建设集团在中国全资控股的第一家电池系统工厂。“首款新能源车型的预量产车将于2022年下半年下线，并计划在2023年下半年开始投产。到2026年，大众安徽将推出基于纯电动、全面互联的SSP可扩展系统平台打造的纯电动汽车。”</w:t>
      </w:r>
    </w:p>
    <w:p w14:paraId="78672922" w14:textId="77777777" w:rsidR="0071786F" w:rsidRPr="00BE05B2" w:rsidRDefault="0071786F" w:rsidP="0048057D">
      <w:pPr>
        <w:pStyle w:val="a8"/>
        <w:numPr>
          <w:ilvl w:val="3"/>
          <w:numId w:val="17"/>
        </w:numPr>
        <w:ind w:firstLineChars="0"/>
        <w:jc w:val="left"/>
        <w:outlineLvl w:val="1"/>
        <w:rPr>
          <w:b/>
        </w:rPr>
      </w:pPr>
      <w:r w:rsidRPr="00BE05B2">
        <w:rPr>
          <w:rFonts w:hint="eastAsia"/>
          <w:b/>
        </w:rPr>
        <w:t>广汽集团宣布</w:t>
      </w:r>
      <w:r w:rsidRPr="00BE05B2">
        <w:rPr>
          <w:b/>
        </w:rPr>
        <w:t>2050年前实现碳中和</w:t>
      </w:r>
    </w:p>
    <w:p w14:paraId="6A85F6F3" w14:textId="22A90096" w:rsidR="0071786F" w:rsidRPr="00752901" w:rsidRDefault="0071786F" w:rsidP="0048057D">
      <w:r>
        <w:rPr>
          <w:rFonts w:hint="eastAsia"/>
        </w:rPr>
        <w:t>广汽集团公布了“绿净计划”的具体目标：将于</w:t>
      </w:r>
      <w:r>
        <w:t>2050年前实现产品全生命周期的碳中和。广汽集团提出到2025年实现自主品牌新能源车销量占比50%；2030年实现新能源车占比50%。</w:t>
      </w:r>
    </w:p>
    <w:p w14:paraId="305FBD9E" w14:textId="77777777" w:rsidR="0071786F" w:rsidRPr="00BA33AB" w:rsidRDefault="0071786F" w:rsidP="0048057D">
      <w:pPr>
        <w:pStyle w:val="a8"/>
        <w:numPr>
          <w:ilvl w:val="3"/>
          <w:numId w:val="17"/>
        </w:numPr>
        <w:ind w:firstLineChars="0"/>
        <w:jc w:val="left"/>
        <w:outlineLvl w:val="1"/>
        <w:rPr>
          <w:b/>
        </w:rPr>
      </w:pPr>
      <w:r w:rsidRPr="00BA33AB">
        <w:rPr>
          <w:rFonts w:hint="eastAsia"/>
          <w:b/>
        </w:rPr>
        <w:t>恒大新能源汽车注册资本增至</w:t>
      </w:r>
      <w:r w:rsidRPr="00BA33AB">
        <w:rPr>
          <w:b/>
        </w:rPr>
        <w:t>35亿美元</w:t>
      </w:r>
    </w:p>
    <w:p w14:paraId="0CEECA4E" w14:textId="6B803E6D" w:rsidR="0071786F" w:rsidRPr="00752901" w:rsidRDefault="0071786F" w:rsidP="0048057D">
      <w:r>
        <w:rPr>
          <w:rFonts w:hint="eastAsia"/>
        </w:rPr>
        <w:t>恒大新能源汽车投资控股集团有限公司发生了工商变更，注册资本由约</w:t>
      </w:r>
      <w:r>
        <w:t>25.15亿美元增至35亿美元，增幅达到了39%。</w:t>
      </w:r>
    </w:p>
    <w:p w14:paraId="6AB5CEFE" w14:textId="29568CF3" w:rsidR="0071786F" w:rsidRDefault="0071786F" w:rsidP="0048057D">
      <w:pPr>
        <w:pStyle w:val="a8"/>
        <w:numPr>
          <w:ilvl w:val="3"/>
          <w:numId w:val="17"/>
        </w:numPr>
        <w:ind w:firstLineChars="0"/>
        <w:jc w:val="left"/>
        <w:outlineLvl w:val="1"/>
      </w:pPr>
      <w:r w:rsidRPr="00BE05B2">
        <w:rPr>
          <w:b/>
        </w:rPr>
        <w:t>长城汽车欧洲总部落地慕尼黑</w:t>
      </w:r>
    </w:p>
    <w:p w14:paraId="42F23E3D" w14:textId="05ACDFF7" w:rsidR="0071786F" w:rsidRPr="00752901" w:rsidRDefault="0071786F" w:rsidP="0048057D">
      <w:r>
        <w:t>长城汽车官方宣布，正式在慕尼黑开设德国子公司并设立欧洲总部，作为开拓欧洲大陆市场的中心。</w:t>
      </w:r>
    </w:p>
    <w:p w14:paraId="3D13F80B" w14:textId="77777777" w:rsidR="0071786F" w:rsidRPr="00702648" w:rsidRDefault="0071786F" w:rsidP="0048057D">
      <w:pPr>
        <w:pStyle w:val="a8"/>
        <w:numPr>
          <w:ilvl w:val="3"/>
          <w:numId w:val="17"/>
        </w:numPr>
        <w:ind w:firstLineChars="0"/>
        <w:jc w:val="left"/>
        <w:outlineLvl w:val="1"/>
        <w:rPr>
          <w:b/>
        </w:rPr>
      </w:pPr>
      <w:r w:rsidRPr="00702648">
        <w:rPr>
          <w:rFonts w:hint="eastAsia"/>
          <w:b/>
        </w:rPr>
        <w:t>宁德时代与阿特斯太阳能达成合作</w:t>
      </w:r>
    </w:p>
    <w:p w14:paraId="4FDA4C61" w14:textId="08A05A70" w:rsidR="0071786F" w:rsidRPr="00752901" w:rsidRDefault="0071786F" w:rsidP="0048057D">
      <w:r>
        <w:t>11月23日，宁德时代与阿特斯太阳能在宁德签订战略合作协议。</w:t>
      </w:r>
      <w:r>
        <w:rPr>
          <w:rFonts w:hint="eastAsia"/>
        </w:rPr>
        <w:t>根据协议，双方将在储能系统、锂电池模组供应、储能项目运维服务、新能源技术等方面展开合作。</w:t>
      </w:r>
    </w:p>
    <w:p w14:paraId="2C42E53B" w14:textId="77777777" w:rsidR="0071786F" w:rsidRPr="00CF6A65" w:rsidRDefault="0071786F" w:rsidP="0048057D">
      <w:pPr>
        <w:pStyle w:val="a8"/>
        <w:numPr>
          <w:ilvl w:val="3"/>
          <w:numId w:val="17"/>
        </w:numPr>
        <w:ind w:firstLineChars="0"/>
        <w:jc w:val="left"/>
        <w:outlineLvl w:val="1"/>
        <w:rPr>
          <w:b/>
        </w:rPr>
      </w:pPr>
      <w:r w:rsidRPr="00CF6A65">
        <w:rPr>
          <w:b/>
        </w:rPr>
        <w:t>三一智联重卡厂房正式排产</w:t>
      </w:r>
    </w:p>
    <w:p w14:paraId="1D60D5B0" w14:textId="77777777" w:rsidR="0071786F" w:rsidRDefault="0071786F" w:rsidP="0048057D">
      <w:r>
        <w:t>2021年11月19日，三一智联重卡第一批6台江山·信485隆重下线!</w:t>
      </w:r>
    </w:p>
    <w:p w14:paraId="26F27ED5" w14:textId="77777777" w:rsidR="0071786F" w:rsidRDefault="0071786F" w:rsidP="0048057D">
      <w:r>
        <w:t>6台全新江山·信485齐刷刷点亮蓝宝石logo灯平稳驶出1号工位产线。自此，三一智联重卡厂房1号产线完成从零部件上线到整车下线首批生产任务，三一智联重卡厂房已达到全面启用标准。</w:t>
      </w:r>
    </w:p>
    <w:p w14:paraId="3775B4E7" w14:textId="0015F1B3" w:rsidR="0071786F" w:rsidRPr="00752901" w:rsidRDefault="0071786F" w:rsidP="0048057D">
      <w:r>
        <w:t>3个超级立体库，463台agv，222个机器人，三一智联重卡产业园是三一首个完全基于数字化、智能化技术的园区。预计产值超1500亿元，辐射产值突破6000亿元，其是2020年湖南省重点建设项目。</w:t>
      </w:r>
    </w:p>
    <w:p w14:paraId="39A9DDDB" w14:textId="77777777" w:rsidR="0071786F" w:rsidRPr="00D400CD" w:rsidRDefault="0071786F" w:rsidP="0048057D">
      <w:pPr>
        <w:pStyle w:val="a8"/>
        <w:numPr>
          <w:ilvl w:val="3"/>
          <w:numId w:val="17"/>
        </w:numPr>
        <w:ind w:firstLineChars="0"/>
        <w:jc w:val="left"/>
        <w:outlineLvl w:val="1"/>
        <w:rPr>
          <w:b/>
        </w:rPr>
      </w:pPr>
      <w:r w:rsidRPr="00D400CD">
        <w:rPr>
          <w:rFonts w:hint="eastAsia"/>
          <w:b/>
        </w:rPr>
        <w:t>特斯拉上海工厂投资</w:t>
      </w:r>
      <w:r w:rsidRPr="00D400CD">
        <w:rPr>
          <w:b/>
        </w:rPr>
        <w:t>12亿扩产</w:t>
      </w:r>
    </w:p>
    <w:p w14:paraId="52E1E722" w14:textId="4F22860A" w:rsidR="0071786F" w:rsidRPr="00752901" w:rsidRDefault="0071786F" w:rsidP="0048057D">
      <w:r w:rsidRPr="00C6058D">
        <w:t>11月26日，特斯拉对上海超级工厂（一期）第二阶段的产线优化项目进行环评公示，该产线优化投资总额为12亿元，其中环保投资8500万元。</w:t>
      </w:r>
      <w:r w:rsidRPr="00542446">
        <w:rPr>
          <w:rFonts w:hint="eastAsia"/>
        </w:rPr>
        <w:t>工厂将增加</w:t>
      </w:r>
      <w:r w:rsidRPr="00542446">
        <w:t>4000名员工，全厂员工数量将达到 19000 人。</w:t>
      </w:r>
      <w:r w:rsidRPr="00C6058D">
        <w:t>项目预计今年12月动工，明年4月完工。</w:t>
      </w:r>
    </w:p>
    <w:p w14:paraId="2866FC2B" w14:textId="77777777" w:rsidR="0071786F" w:rsidRPr="00D400CD" w:rsidRDefault="0071786F" w:rsidP="0048057D">
      <w:pPr>
        <w:pStyle w:val="a8"/>
        <w:numPr>
          <w:ilvl w:val="3"/>
          <w:numId w:val="17"/>
        </w:numPr>
        <w:ind w:firstLineChars="0"/>
        <w:jc w:val="left"/>
        <w:outlineLvl w:val="1"/>
        <w:rPr>
          <w:b/>
        </w:rPr>
      </w:pPr>
      <w:r w:rsidRPr="00D400CD">
        <w:rPr>
          <w:rFonts w:hint="eastAsia"/>
          <w:b/>
        </w:rPr>
        <w:t>蔚来电池供应商卫蓝新能源获小米、华为等</w:t>
      </w:r>
      <w:r w:rsidRPr="00D400CD">
        <w:rPr>
          <w:b/>
        </w:rPr>
        <w:t>5亿元投资</w:t>
      </w:r>
    </w:p>
    <w:p w14:paraId="116A2FB8" w14:textId="56D5FB38" w:rsidR="0071786F" w:rsidRPr="00752901" w:rsidRDefault="0071786F" w:rsidP="0048057D">
      <w:r w:rsidRPr="00C6058D">
        <w:t>11月26日，蔚来半固态电池供应商卫蓝新能源将获得来自小米产投、华为等机构的5亿元投资，项目整体估值达50亿元。烯牛数据显示，参与本轮融资的其他投资方还有允泰资本、海松资本、顺为资本、IDG资本、蔚来资本。</w:t>
      </w:r>
    </w:p>
    <w:p w14:paraId="31B54F94" w14:textId="77777777" w:rsidR="0071786F" w:rsidRPr="00BE594E" w:rsidRDefault="0071786F" w:rsidP="0048057D">
      <w:pPr>
        <w:pStyle w:val="a8"/>
        <w:numPr>
          <w:ilvl w:val="3"/>
          <w:numId w:val="17"/>
        </w:numPr>
        <w:ind w:firstLineChars="0"/>
        <w:jc w:val="left"/>
        <w:outlineLvl w:val="1"/>
        <w:rPr>
          <w:b/>
        </w:rPr>
      </w:pPr>
      <w:r w:rsidRPr="00BE594E">
        <w:rPr>
          <w:rFonts w:hint="eastAsia"/>
          <w:b/>
        </w:rPr>
        <w:t>蔚来宣布完成美国存托股票的市场发售</w:t>
      </w:r>
      <w:r w:rsidRPr="00BE594E">
        <w:rPr>
          <w:b/>
        </w:rPr>
        <w:t>筹集20亿美元融资</w:t>
      </w:r>
    </w:p>
    <w:p w14:paraId="7E957278" w14:textId="086C787A" w:rsidR="0071786F" w:rsidRPr="00752901" w:rsidRDefault="0071786F" w:rsidP="0048057D">
      <w:r>
        <w:rPr>
          <w:rFonts w:hint="eastAsia"/>
        </w:rPr>
        <w:t>蔚来宣布已经完成了美国存托股票（</w:t>
      </w:r>
      <w:r>
        <w:t>ADS）在市场上的发行，每股相当于公司一股A类普通股。蔚来称，通过在市场上发售，公司出售了53,292,401ADS，筹集了20亿美元的融资，扣除了支付给分销代理的大约2,600万美元的佣金和某些发售费用。</w:t>
      </w:r>
    </w:p>
    <w:p w14:paraId="46554FD8" w14:textId="77777777" w:rsidR="0071786F" w:rsidRPr="00942B00" w:rsidRDefault="0071786F" w:rsidP="0048057D">
      <w:pPr>
        <w:pStyle w:val="a8"/>
        <w:numPr>
          <w:ilvl w:val="3"/>
          <w:numId w:val="17"/>
        </w:numPr>
        <w:ind w:firstLineChars="0"/>
        <w:jc w:val="left"/>
        <w:outlineLvl w:val="1"/>
        <w:rPr>
          <w:b/>
        </w:rPr>
      </w:pPr>
      <w:r w:rsidRPr="00942B00">
        <w:rPr>
          <w:rFonts w:hint="eastAsia"/>
          <w:b/>
        </w:rPr>
        <w:t>小马智行建深圳研发中心</w:t>
      </w:r>
      <w:r w:rsidRPr="00942B00">
        <w:rPr>
          <w:b/>
        </w:rPr>
        <w:t>研发网络全面覆盖</w:t>
      </w:r>
    </w:p>
    <w:p w14:paraId="51E4DAD3" w14:textId="77777777" w:rsidR="0071786F" w:rsidRDefault="0071786F" w:rsidP="0048057D">
      <w:r>
        <w:t>11月19日，小马智行宣布在深圳前海深港现代服务业合作区落地其第五个研发中心——深圳研发中心，正式开启粤港澳大湾区内多城联动的战略布局和研发网络，推进自动驾驶研发与测试的规模化发展。</w:t>
      </w:r>
    </w:p>
    <w:p w14:paraId="7AB8A0F4" w14:textId="5F0E3D1A" w:rsidR="0071786F" w:rsidRPr="00752901" w:rsidRDefault="0071786F" w:rsidP="0048057D">
      <w:r>
        <w:rPr>
          <w:rFonts w:hint="eastAsia"/>
        </w:rPr>
        <w:t>在深圳研发中心建立之后，小马智行自动驾驶研发网络将全面覆盖“北上广深”四大一线城市，这有望加强其自动驾驶乘用车与商用车两大业务的道路测试和商业化应用，加快自动驾驶软硬件系统研发迭代进程。</w:t>
      </w:r>
    </w:p>
    <w:p w14:paraId="18039F8A" w14:textId="181D566A" w:rsidR="0071786F" w:rsidRPr="00A96BE3" w:rsidRDefault="0071786F" w:rsidP="0048057D">
      <w:pPr>
        <w:pStyle w:val="a8"/>
        <w:numPr>
          <w:ilvl w:val="3"/>
          <w:numId w:val="17"/>
        </w:numPr>
        <w:ind w:firstLineChars="0"/>
        <w:jc w:val="left"/>
        <w:outlineLvl w:val="1"/>
        <w:rPr>
          <w:b/>
        </w:rPr>
      </w:pPr>
      <w:r w:rsidRPr="00A96BE3">
        <w:rPr>
          <w:rFonts w:hint="eastAsia"/>
          <w:b/>
        </w:rPr>
        <w:t>小鹏智能化水准</w:t>
      </w:r>
    </w:p>
    <w:p w14:paraId="11E851BA" w14:textId="4A8D4F68" w:rsidR="0071786F" w:rsidRPr="00752901" w:rsidRDefault="0071786F" w:rsidP="0048057D">
      <w:r>
        <w:rPr>
          <w:rFonts w:hint="eastAsia"/>
        </w:rPr>
        <w:t>小鹏</w:t>
      </w:r>
      <w:r>
        <w:t>G9被描述为一款基于中国欧洲双标准打造的国际化车型。小鹏G9并非只考虑到中国消费者的用车需求和情况，也广泛参考了欧洲消费者的使用习惯和场景。</w:t>
      </w:r>
    </w:p>
    <w:p w14:paraId="189410FC" w14:textId="77777777" w:rsidR="0071786F" w:rsidRPr="0002084C" w:rsidRDefault="0071786F" w:rsidP="0048057D">
      <w:pPr>
        <w:pStyle w:val="a8"/>
        <w:numPr>
          <w:ilvl w:val="3"/>
          <w:numId w:val="17"/>
        </w:numPr>
        <w:ind w:firstLineChars="0"/>
        <w:jc w:val="left"/>
        <w:outlineLvl w:val="1"/>
        <w:rPr>
          <w:b/>
        </w:rPr>
      </w:pPr>
      <w:r w:rsidRPr="0002084C">
        <w:rPr>
          <w:rFonts w:hint="eastAsia"/>
          <w:b/>
        </w:rPr>
        <w:t>长城汽车在德国慕尼黑成立欧洲总部</w:t>
      </w:r>
    </w:p>
    <w:p w14:paraId="035C40CF" w14:textId="77777777" w:rsidR="0071786F" w:rsidRDefault="0071786F" w:rsidP="0048057D">
      <w:r>
        <w:t>11月18日，长城汽车在慕尼黑开设德国子公司并设立欧洲总部，作为开拓欧洲大陆市场的中心。</w:t>
      </w:r>
    </w:p>
    <w:p w14:paraId="052EED97" w14:textId="77777777" w:rsidR="0071786F" w:rsidRDefault="0071786F" w:rsidP="0048057D">
      <w:r>
        <w:rPr>
          <w:rFonts w:hint="eastAsia"/>
        </w:rPr>
        <w:t>长城汽车欧洲总部的职能将涵盖研发、销售、管理等，其中，研发将集中在整车集成、车辆部件开发、电子动力系统平台开发和集成、智能驾驶和车联网等领域。</w:t>
      </w:r>
    </w:p>
    <w:p w14:paraId="3EAB4DE3" w14:textId="0E3636D0" w:rsidR="0071786F" w:rsidRPr="00752901" w:rsidRDefault="0071786F" w:rsidP="0048057D">
      <w:r>
        <w:rPr>
          <w:rFonts w:hint="eastAsia"/>
        </w:rPr>
        <w:t>长城汽车透露，预计到</w:t>
      </w:r>
      <w:r>
        <w:t>2022年初，慕尼黑团队总人数将增加到近300人。</w:t>
      </w:r>
    </w:p>
    <w:p w14:paraId="4CD7E10B" w14:textId="77777777" w:rsidR="0071786F" w:rsidRPr="00BE594E" w:rsidRDefault="0071786F" w:rsidP="0048057D">
      <w:pPr>
        <w:pStyle w:val="a8"/>
        <w:numPr>
          <w:ilvl w:val="3"/>
          <w:numId w:val="17"/>
        </w:numPr>
        <w:ind w:firstLineChars="0"/>
        <w:jc w:val="left"/>
        <w:outlineLvl w:val="1"/>
        <w:rPr>
          <w:b/>
        </w:rPr>
      </w:pPr>
      <w:r w:rsidRPr="00BE594E">
        <w:rPr>
          <w:rFonts w:hint="eastAsia"/>
          <w:b/>
        </w:rPr>
        <w:t>智己汽车发布创新战略</w:t>
      </w:r>
    </w:p>
    <w:p w14:paraId="2E34F4E7" w14:textId="73DD41C0" w:rsidR="0071786F" w:rsidRPr="00752901" w:rsidRDefault="0071786F" w:rsidP="0048057D">
      <w:r>
        <w:rPr>
          <w:rFonts w:hint="eastAsia"/>
        </w:rPr>
        <w:t>智己汽车发布企业创新战略，智己汽车将基于产品创新和机制创新，聚焦与智能化、电动化和消费审美升级三大趋势，目标打造最像人的智能驾驶，为用户创造全新的智能化场景体验。除了已经亮相的</w:t>
      </w:r>
      <w:r>
        <w:t>L7和LS7之外，其概念车AIRO也将于2024年实现量产。</w:t>
      </w:r>
    </w:p>
    <w:p w14:paraId="40A41A7C" w14:textId="77777777" w:rsidR="0071786F" w:rsidRPr="00D62103" w:rsidRDefault="0071786F" w:rsidP="0048057D">
      <w:pPr>
        <w:pStyle w:val="a8"/>
        <w:numPr>
          <w:ilvl w:val="3"/>
          <w:numId w:val="17"/>
        </w:numPr>
        <w:ind w:firstLineChars="0"/>
        <w:jc w:val="left"/>
        <w:outlineLvl w:val="1"/>
        <w:rPr>
          <w:b/>
        </w:rPr>
      </w:pPr>
      <w:r w:rsidRPr="00D62103">
        <w:rPr>
          <w:rFonts w:hint="eastAsia"/>
          <w:b/>
        </w:rPr>
        <w:t>中石油牵手蔚来</w:t>
      </w:r>
      <w:r w:rsidRPr="00D62103">
        <w:rPr>
          <w:b/>
        </w:rPr>
        <w:t>全国首座二代换电站落地</w:t>
      </w:r>
    </w:p>
    <w:p w14:paraId="7298D558" w14:textId="77777777" w:rsidR="0071786F" w:rsidRDefault="0071786F" w:rsidP="0048057D">
      <w:r>
        <w:t>11月24日，蔚来陕西咸阳中石油毕塬路换电站、陕西榆林中石油上郡北路换电站正式上线。前者是中国石油与蔚来汽车合作落成的全国首座二代换电站。也是陕西第十六座和第十七座换电站、全国第638座和639座蔚来第二代换电站。</w:t>
      </w:r>
    </w:p>
    <w:p w14:paraId="6C3D8A0D" w14:textId="77777777" w:rsidR="0071786F" w:rsidRDefault="0071786F" w:rsidP="0048057D">
      <w:r>
        <w:rPr>
          <w:rFonts w:hint="eastAsia"/>
        </w:rPr>
        <w:t>接下来，蔚来将与中国石油持续围绕新能源汽车出行及充换电设施布局，在陕西范围内逐步展开更多深度合作。</w:t>
      </w:r>
    </w:p>
    <w:p w14:paraId="0FE602F2" w14:textId="104BA0D5" w:rsidR="0071786F" w:rsidRDefault="0071786F" w:rsidP="0048057D">
      <w:pPr>
        <w:rPr>
          <w:rFonts w:cs="宋体"/>
          <w:b/>
          <w:bCs/>
          <w:i/>
          <w:iCs/>
        </w:rPr>
      </w:pPr>
    </w:p>
    <w:p w14:paraId="7BC3A854" w14:textId="77777777" w:rsidR="0048057D" w:rsidRPr="00D02F70" w:rsidRDefault="0048057D" w:rsidP="0048057D">
      <w:pPr>
        <w:pStyle w:val="a8"/>
        <w:numPr>
          <w:ilvl w:val="0"/>
          <w:numId w:val="4"/>
        </w:numPr>
        <w:ind w:firstLineChars="0"/>
        <w:outlineLvl w:val="0"/>
        <w:rPr>
          <w:b/>
        </w:rPr>
      </w:pPr>
      <w:r>
        <w:rPr>
          <w:rFonts w:hint="eastAsia"/>
          <w:b/>
        </w:rPr>
        <w:t>行业信息</w:t>
      </w:r>
    </w:p>
    <w:p w14:paraId="6FD3C418" w14:textId="77777777" w:rsidR="0071786F" w:rsidRPr="00D62103" w:rsidRDefault="0071786F" w:rsidP="0071786F">
      <w:pPr>
        <w:pStyle w:val="a8"/>
        <w:numPr>
          <w:ilvl w:val="0"/>
          <w:numId w:val="22"/>
        </w:numPr>
        <w:ind w:firstLineChars="0"/>
        <w:outlineLvl w:val="1"/>
        <w:rPr>
          <w:b/>
        </w:rPr>
      </w:pPr>
      <w:r w:rsidRPr="00D62103">
        <w:rPr>
          <w:rFonts w:hint="eastAsia"/>
          <w:b/>
        </w:rPr>
        <w:t>北京年底将实现道路停车电子收费全覆盖</w:t>
      </w:r>
    </w:p>
    <w:p w14:paraId="2A16CA9A" w14:textId="77777777" w:rsidR="0071786F" w:rsidRDefault="0071786F" w:rsidP="0048057D">
      <w:r>
        <w:rPr>
          <w:rFonts w:hint="eastAsia"/>
        </w:rPr>
        <w:t>近三年时间，北京道路停车改革持续推进，今年将是“收官之年”。今天上午，记者从市交通委获悉，今年全市各区新增上线</w:t>
      </w:r>
      <w:r>
        <w:t>125条道路、10514个电子收费车位，年底将实现道路停车电子收费全覆盖。</w:t>
      </w:r>
    </w:p>
    <w:p w14:paraId="5C92DB8F" w14:textId="4E5A3457" w:rsidR="0071786F" w:rsidRPr="00752901" w:rsidRDefault="0071786F" w:rsidP="0048057D">
      <w:r>
        <w:rPr>
          <w:rFonts w:hint="eastAsia"/>
        </w:rPr>
        <w:t>新的道路停车前端检测技术——移动视频也在各区持续推广，使用移动视频设备替代</w:t>
      </w:r>
      <w:r>
        <w:t>POS机管理的道路，就有115条、11249个车位。目前，全市道路停车前端视频设备覆盖率已达99.4%，年底各区规划道路车位将全部实现电子收费。</w:t>
      </w:r>
    </w:p>
    <w:p w14:paraId="469061F6" w14:textId="2B525C2C" w:rsidR="0071786F" w:rsidRPr="00752901" w:rsidRDefault="00752901" w:rsidP="00752901">
      <w:pPr>
        <w:jc w:val="left"/>
        <w:outlineLvl w:val="1"/>
        <w:rPr>
          <w:b/>
        </w:rPr>
      </w:pPr>
      <w:r>
        <w:rPr>
          <w:b/>
        </w:rPr>
        <w:t>2.</w:t>
      </w:r>
      <w:r w:rsidR="0071786F" w:rsidRPr="00752901">
        <w:rPr>
          <w:rFonts w:hint="eastAsia"/>
          <w:b/>
        </w:rPr>
        <w:t>多氟多拟定增募资</w:t>
      </w:r>
      <w:r w:rsidR="0071786F" w:rsidRPr="00752901">
        <w:rPr>
          <w:b/>
        </w:rPr>
        <w:t>44亿元投建8万吨六氟等项目</w:t>
      </w:r>
    </w:p>
    <w:p w14:paraId="2C0B078A" w14:textId="77777777" w:rsidR="0071786F" w:rsidRDefault="0071786F" w:rsidP="0071786F">
      <w:r>
        <w:t>11月24日，多氟多发布公告称，拟定增募资44亿元，用于年产10万吨电解质锂盐项目。</w:t>
      </w:r>
    </w:p>
    <w:p w14:paraId="603B2347" w14:textId="0DEE6DB1" w:rsidR="0071786F" w:rsidRPr="00752901" w:rsidRDefault="0071786F" w:rsidP="0071786F">
      <w:r>
        <w:rPr>
          <w:rFonts w:hint="eastAsia"/>
        </w:rPr>
        <w:t>其中，六氟磷酸锂新增产能</w:t>
      </w:r>
      <w:r>
        <w:t>8万吨，双氟磺酰亚胺锂新增产能1万吨，二氟磷酸锂新增产能1万吨。项目计划分三期建设，建设周期为3.25年。</w:t>
      </w:r>
    </w:p>
    <w:p w14:paraId="57C53CF3" w14:textId="06FE0983" w:rsidR="0071786F" w:rsidRPr="00752901" w:rsidRDefault="00752901" w:rsidP="00752901">
      <w:pPr>
        <w:jc w:val="left"/>
        <w:outlineLvl w:val="1"/>
        <w:rPr>
          <w:b/>
        </w:rPr>
      </w:pPr>
      <w:r>
        <w:rPr>
          <w:rFonts w:hint="eastAsia"/>
          <w:b/>
        </w:rPr>
        <w:t>3</w:t>
      </w:r>
      <w:r>
        <w:rPr>
          <w:b/>
        </w:rPr>
        <w:t>.</w:t>
      </w:r>
      <w:r w:rsidR="0071786F" w:rsidRPr="00752901">
        <w:rPr>
          <w:rFonts w:hint="eastAsia"/>
          <w:b/>
        </w:rPr>
        <w:t>恩捷股份拟定增</w:t>
      </w:r>
      <w:r w:rsidR="0071786F" w:rsidRPr="00752901">
        <w:rPr>
          <w:b/>
        </w:rPr>
        <w:t>85亿元投建锂电隔膜项目</w:t>
      </w:r>
    </w:p>
    <w:p w14:paraId="16EC63F0" w14:textId="0E0B4B8D" w:rsidR="0071786F" w:rsidRPr="00752901" w:rsidRDefault="0071786F" w:rsidP="0071786F">
      <w:r w:rsidRPr="005B5AC6">
        <w:t>11月22日，恩捷股份发布公告称，拟募集资金总额不超过128亿元，用于锂电项目及补充流动资金。其中，用于锂电池隔膜项目的资金总额为85亿元。</w:t>
      </w:r>
    </w:p>
    <w:p w14:paraId="7CF249E8" w14:textId="6A501620" w:rsidR="0071786F" w:rsidRPr="00752901" w:rsidRDefault="00752901" w:rsidP="00752901">
      <w:pPr>
        <w:jc w:val="left"/>
        <w:outlineLvl w:val="1"/>
        <w:rPr>
          <w:b/>
        </w:rPr>
      </w:pPr>
      <w:r>
        <w:rPr>
          <w:rFonts w:hint="eastAsia"/>
          <w:b/>
        </w:rPr>
        <w:t>4</w:t>
      </w:r>
      <w:r>
        <w:rPr>
          <w:b/>
        </w:rPr>
        <w:t>.</w:t>
      </w:r>
      <w:r w:rsidR="0071786F" w:rsidRPr="00752901">
        <w:rPr>
          <w:rFonts w:hint="eastAsia"/>
          <w:b/>
        </w:rPr>
        <w:t>高德地图推出辅助驾驶功能</w:t>
      </w:r>
      <w:r w:rsidR="0071786F" w:rsidRPr="00752901">
        <w:rPr>
          <w:b/>
        </w:rPr>
        <w:t>:免费使用</w:t>
      </w:r>
    </w:p>
    <w:p w14:paraId="760A4702" w14:textId="77777777" w:rsidR="0071786F" w:rsidRDefault="0071786F" w:rsidP="0071786F">
      <w:r>
        <w:rPr>
          <w:rFonts w:hint="eastAsia"/>
        </w:rPr>
        <w:t>高德地图新推出了一个特别的解决方案：借助领先的视觉</w:t>
      </w:r>
      <w:r>
        <w:t>AI技术，让手机里的地图通过手机摄像头，来智能识别前方车辆、行人，提供碰撞预警、车道偏离等多种安全提醒功能，以防止发生风险。</w:t>
      </w:r>
    </w:p>
    <w:p w14:paraId="249EE4A9" w14:textId="2E92F25C" w:rsidR="0071786F" w:rsidRPr="00752901" w:rsidRDefault="0071786F" w:rsidP="0071786F">
      <w:r>
        <w:rPr>
          <w:rFonts w:hint="eastAsia"/>
        </w:rPr>
        <w:t>高德方面称，其最新版的高德地图集成了</w:t>
      </w:r>
      <w:r>
        <w:t>ADAS预警导航功能，安装或升级后即可启用，不用额外花钱购买配件。</w:t>
      </w:r>
    </w:p>
    <w:p w14:paraId="50A7C843" w14:textId="716395FB" w:rsidR="0071786F" w:rsidRPr="00752901" w:rsidRDefault="00752901" w:rsidP="00752901">
      <w:pPr>
        <w:jc w:val="left"/>
        <w:outlineLvl w:val="1"/>
        <w:rPr>
          <w:b/>
        </w:rPr>
      </w:pPr>
      <w:r>
        <w:rPr>
          <w:rFonts w:hint="eastAsia"/>
          <w:b/>
        </w:rPr>
        <w:t>5</w:t>
      </w:r>
      <w:r>
        <w:rPr>
          <w:b/>
        </w:rPr>
        <w:t>.</w:t>
      </w:r>
      <w:r w:rsidR="0071786F" w:rsidRPr="00752901">
        <w:rPr>
          <w:rFonts w:hint="eastAsia"/>
          <w:b/>
        </w:rPr>
        <w:t>湖北宜化拟在宜昌投建</w:t>
      </w:r>
      <w:r w:rsidR="0071786F" w:rsidRPr="00752901">
        <w:rPr>
          <w:b/>
        </w:rPr>
        <w:t>30万吨磷酸铁前驱体等项目</w:t>
      </w:r>
    </w:p>
    <w:p w14:paraId="4FBA94B8" w14:textId="77777777" w:rsidR="0071786F" w:rsidRDefault="0071786F" w:rsidP="0071786F">
      <w:r>
        <w:t>11月24日，湖北宜化发布公告称，子公司宜化肥业将与宁德时代子公司宜昌邦普时代共同对邦普宜化进行增资。</w:t>
      </w:r>
    </w:p>
    <w:p w14:paraId="4077BA87" w14:textId="7478DA40" w:rsidR="0071786F" w:rsidRPr="00752901" w:rsidRDefault="0071786F" w:rsidP="0071786F">
      <w:r>
        <w:rPr>
          <w:rFonts w:hint="eastAsia"/>
        </w:rPr>
        <w:t>增资完成后，邦普宜化的注册资本将由</w:t>
      </w:r>
      <w:r>
        <w:t>1000万元提升至1亿元，宜昌邦普时代持股65%，宜化肥业持股35%。</w:t>
      </w:r>
    </w:p>
    <w:p w14:paraId="5AEEE161" w14:textId="452828A7" w:rsidR="0071786F" w:rsidRPr="00752901" w:rsidRDefault="00752901" w:rsidP="00752901">
      <w:pPr>
        <w:jc w:val="left"/>
        <w:outlineLvl w:val="1"/>
        <w:rPr>
          <w:b/>
        </w:rPr>
      </w:pPr>
      <w:r>
        <w:rPr>
          <w:rFonts w:hint="eastAsia"/>
          <w:b/>
        </w:rPr>
        <w:t>6</w:t>
      </w:r>
      <w:r>
        <w:rPr>
          <w:b/>
        </w:rPr>
        <w:t>.</w:t>
      </w:r>
      <w:r w:rsidR="0071786F" w:rsidRPr="00752901">
        <w:rPr>
          <w:rFonts w:hint="eastAsia"/>
          <w:b/>
        </w:rPr>
        <w:t>鹏辉能源拟</w:t>
      </w:r>
      <w:r w:rsidR="0071786F" w:rsidRPr="00752901">
        <w:rPr>
          <w:b/>
        </w:rPr>
        <w:t>12亿元在柳州建4GWh锂电项目</w:t>
      </w:r>
    </w:p>
    <w:p w14:paraId="194920FB" w14:textId="77777777" w:rsidR="0071786F" w:rsidRDefault="0071786F" w:rsidP="0071786F">
      <w:r>
        <w:t>11月24日，鹏辉能源发布公告称，拟在广西柳州市北部生态新区建设鹏辉智慧储能及动力电池制造基地，主要布局锂电池电芯、PACK生产线。</w:t>
      </w:r>
    </w:p>
    <w:p w14:paraId="2B267744" w14:textId="5F9627AA" w:rsidR="0071786F" w:rsidRPr="00752901" w:rsidRDefault="0071786F" w:rsidP="0071786F">
      <w:r>
        <w:rPr>
          <w:rFonts w:hint="eastAsia"/>
        </w:rPr>
        <w:t>项目总投资预计约</w:t>
      </w:r>
      <w:r>
        <w:t>60亿元，其中项目一、二期计划总投资12亿元，工程建设周期为15个月。项目整体规划布局产能20GWh，一期建设产能2GWh、二期建设产能2GWh。项目用地总规划面积约550-850亩，其中项目一、二期用地规划面积约为250亩。</w:t>
      </w:r>
    </w:p>
    <w:p w14:paraId="7DBA3E6C" w14:textId="6FE581B2" w:rsidR="0071786F" w:rsidRPr="00752901" w:rsidRDefault="00752901" w:rsidP="00752901">
      <w:pPr>
        <w:jc w:val="left"/>
        <w:outlineLvl w:val="1"/>
        <w:rPr>
          <w:b/>
        </w:rPr>
      </w:pPr>
      <w:r>
        <w:rPr>
          <w:rFonts w:hint="eastAsia"/>
          <w:b/>
        </w:rPr>
        <w:t>7</w:t>
      </w:r>
      <w:r>
        <w:rPr>
          <w:b/>
        </w:rPr>
        <w:t>.</w:t>
      </w:r>
      <w:r w:rsidR="0071786F" w:rsidRPr="00752901">
        <w:rPr>
          <w:rFonts w:hint="eastAsia"/>
          <w:b/>
        </w:rPr>
        <w:t>瑞浦能源获吉利车型定点</w:t>
      </w:r>
      <w:r w:rsidR="0071786F" w:rsidRPr="00752901">
        <w:rPr>
          <w:b/>
        </w:rPr>
        <w:t>配套规模至少10GWh</w:t>
      </w:r>
    </w:p>
    <w:p w14:paraId="40007A79" w14:textId="3EBE355E" w:rsidR="0071786F" w:rsidRPr="00752901" w:rsidRDefault="0071786F" w:rsidP="0071786F">
      <w:r w:rsidRPr="005B5AC6">
        <w:t>11月25日，瑞浦能源发布消息称，公司已获得吉利集团旗下动力总成平台化产品的车型定点，将为吉利旗下Smart、沃尔沃、极氪等多个品牌车型配套动力电池，配套规模预计将达到10GWh以上。</w:t>
      </w:r>
    </w:p>
    <w:p w14:paraId="29C0452F" w14:textId="2E86BE0C" w:rsidR="0071786F" w:rsidRPr="00752901" w:rsidRDefault="00752901" w:rsidP="00752901">
      <w:pPr>
        <w:jc w:val="left"/>
        <w:outlineLvl w:val="1"/>
        <w:rPr>
          <w:b/>
        </w:rPr>
      </w:pPr>
      <w:r>
        <w:rPr>
          <w:rFonts w:hint="eastAsia"/>
          <w:b/>
        </w:rPr>
        <w:t>8</w:t>
      </w:r>
      <w:r>
        <w:rPr>
          <w:b/>
        </w:rPr>
        <w:t>.</w:t>
      </w:r>
      <w:r w:rsidR="0071786F" w:rsidRPr="00752901">
        <w:rPr>
          <w:rFonts w:hint="eastAsia"/>
          <w:b/>
        </w:rPr>
        <w:t>珠海冠宇</w:t>
      </w:r>
      <w:r w:rsidR="0071786F" w:rsidRPr="00752901">
        <w:rPr>
          <w:b/>
        </w:rPr>
        <w:t>40亿元加码动力电池</w:t>
      </w:r>
    </w:p>
    <w:p w14:paraId="502AD34C" w14:textId="77777777" w:rsidR="0071786F" w:rsidRDefault="0071786F" w:rsidP="0071786F">
      <w:r>
        <w:t>11月18日晚，珠海冠宇发布公告，其全资子公司浙江冠宇拟于浙江嘉兴投建年产10GWh锂离子动力电池项目，项目总投资40亿元，预计2025年建设完工。</w:t>
      </w:r>
    </w:p>
    <w:p w14:paraId="07A04A1E" w14:textId="08710D84" w:rsidR="0071786F" w:rsidRPr="00752901" w:rsidRDefault="0071786F" w:rsidP="0071786F">
      <w:r>
        <w:rPr>
          <w:rFonts w:hint="eastAsia"/>
        </w:rPr>
        <w:t>此举背后逻辑在于，面向</w:t>
      </w:r>
      <w:r>
        <w:t>TWh时代，新能源市场迅速崛起，动力电池需求大幅攀升，成为众电池企业新的业务增长点。</w:t>
      </w:r>
    </w:p>
    <w:p w14:paraId="787B8416" w14:textId="3DDCD448" w:rsidR="0071786F" w:rsidRPr="00752901" w:rsidRDefault="00752901" w:rsidP="00752901">
      <w:pPr>
        <w:jc w:val="left"/>
        <w:outlineLvl w:val="1"/>
        <w:rPr>
          <w:b/>
        </w:rPr>
      </w:pPr>
      <w:r>
        <w:rPr>
          <w:rFonts w:hint="eastAsia"/>
          <w:b/>
        </w:rPr>
        <w:t>9</w:t>
      </w:r>
      <w:r>
        <w:rPr>
          <w:b/>
        </w:rPr>
        <w:t>.</w:t>
      </w:r>
      <w:r w:rsidR="0071786F" w:rsidRPr="00752901">
        <w:rPr>
          <w:rFonts w:hint="eastAsia"/>
          <w:b/>
        </w:rPr>
        <w:t>万达成立汽车科技服务公司</w:t>
      </w:r>
    </w:p>
    <w:p w14:paraId="3587375B" w14:textId="77777777" w:rsidR="0071786F" w:rsidRDefault="0071786F" w:rsidP="0071786F">
      <w:r>
        <w:t>11月22日，万达汽车科技服务有限公司成立，注册资本1亿元，法定代表人为曾茂军。该公司由大连万达集团股份有限公司、泰庆（北京）科技有限公司共同持股。持股比例不详。</w:t>
      </w:r>
    </w:p>
    <w:p w14:paraId="4246EEE7" w14:textId="4B0133C5" w:rsidR="0071786F" w:rsidRPr="00752901" w:rsidRDefault="0071786F" w:rsidP="0071786F">
      <w:r>
        <w:rPr>
          <w:rFonts w:hint="eastAsia"/>
        </w:rPr>
        <w:t>该公司经营范围含汽车新车销售；汽车零配件批发；机动车充电销售；家用电器销售；专业设计服务等。</w:t>
      </w:r>
    </w:p>
    <w:p w14:paraId="4C3B9F9D" w14:textId="40B6D45B" w:rsidR="0071786F" w:rsidRPr="00752901" w:rsidRDefault="00752901" w:rsidP="00752901">
      <w:pPr>
        <w:jc w:val="left"/>
        <w:outlineLvl w:val="1"/>
        <w:rPr>
          <w:b/>
        </w:rPr>
      </w:pPr>
      <w:r>
        <w:rPr>
          <w:rFonts w:hint="eastAsia"/>
          <w:b/>
        </w:rPr>
        <w:t>1</w:t>
      </w:r>
      <w:r>
        <w:rPr>
          <w:b/>
        </w:rPr>
        <w:t>0.</w:t>
      </w:r>
      <w:r w:rsidR="0071786F" w:rsidRPr="00752901">
        <w:rPr>
          <w:b/>
        </w:rPr>
        <w:t>万达在珠海成立汽车公司</w:t>
      </w:r>
      <w:r w:rsidR="0071786F" w:rsidRPr="00752901">
        <w:rPr>
          <w:rFonts w:hint="eastAsia"/>
          <w:b/>
        </w:rPr>
        <w:t>花“</w:t>
      </w:r>
      <w:r w:rsidR="0071786F" w:rsidRPr="00752901">
        <w:rPr>
          <w:b/>
        </w:rPr>
        <w:t>1个小目标”</w:t>
      </w:r>
    </w:p>
    <w:p w14:paraId="26672A52" w14:textId="77777777" w:rsidR="0071786F" w:rsidRDefault="0071786F" w:rsidP="0071786F">
      <w:r>
        <w:t>11月22日，万达汽车科技服务有限公司成立，经营范围包含汽车新车销售、汽车零配件批发、机动车充电销售等，注册资金刚好是王健林的“1个小目标”，1个亿。</w:t>
      </w:r>
    </w:p>
    <w:p w14:paraId="5213AA58" w14:textId="0DFB8528" w:rsidR="0071786F" w:rsidRPr="00752901" w:rsidRDefault="0071786F" w:rsidP="0071786F">
      <w:r>
        <w:rPr>
          <w:rFonts w:hint="eastAsia"/>
        </w:rPr>
        <w:t>从股东信息来看，万达汽车由大连万达集团股份有限公司、泰庆（北京）科技有限公司共同持股。</w:t>
      </w:r>
    </w:p>
    <w:p w14:paraId="08FDE5ED" w14:textId="50B92C6A" w:rsidR="0071786F" w:rsidRPr="00752901" w:rsidRDefault="00752901" w:rsidP="00752901">
      <w:pPr>
        <w:outlineLvl w:val="1"/>
        <w:rPr>
          <w:b/>
        </w:rPr>
      </w:pPr>
      <w:r>
        <w:rPr>
          <w:rFonts w:hint="eastAsia"/>
          <w:b/>
        </w:rPr>
        <w:t>1</w:t>
      </w:r>
      <w:r>
        <w:rPr>
          <w:b/>
        </w:rPr>
        <w:t>1.</w:t>
      </w:r>
      <w:r w:rsidR="0071786F" w:rsidRPr="00752901">
        <w:rPr>
          <w:rFonts w:hint="eastAsia"/>
          <w:b/>
        </w:rPr>
        <w:t>动力电池市场“开挂”</w:t>
      </w:r>
      <w:r w:rsidR="0071786F" w:rsidRPr="00752901">
        <w:rPr>
          <w:b/>
        </w:rPr>
        <w:t>头部企业进入“决战赛道”</w:t>
      </w:r>
    </w:p>
    <w:p w14:paraId="0F6A7AEF" w14:textId="77777777" w:rsidR="0071786F" w:rsidRDefault="0071786F" w:rsidP="0048057D">
      <w:r>
        <w:rPr>
          <w:rFonts w:hint="eastAsia"/>
        </w:rPr>
        <w:t>动力电池企业投资扩产的步伐从未停止。这背后看不见的驱动力，则来自于新能源汽车市场超预期的发展。在全球新能源汽车市场蛋糕越做越大的情况下，动力电池行业的全球竞争格局也正悄然重塑。有行业人士表示，全球动力电池企业的发展，离不开中国市场完备的供应链。未来，成本优势将成为我国动力电池企业的一大竞争力。从数据上看，今年新能源汽车市场确实升温不少。今年</w:t>
      </w:r>
      <w:r>
        <w:t>9月，全球电动车电池装机量约32.9GWh，同比增长了94%。在Top10榜单中，宁德时代、比亚迪、中航锂电、国轩高科、力神和远景动力等六家中国电池企业上榜，占</w:t>
      </w:r>
      <w:r>
        <w:rPr>
          <w:rFonts w:hint="eastAsia"/>
        </w:rPr>
        <w:t>总市场份额的</w:t>
      </w:r>
      <w:r>
        <w:t>48%，其中宁德时代居榜首。而韩国上榜的三大电池企业——LG能源、SKInnovation、三星SDI占总市场份额的32%。松下的市场份额从去年同期的25%下降至13%。今年1-9月，全球动力电池装机量达到197GWh，同比增长了128%。排名前十的企业分别为宁德时代、LG新能源、松下、比亚迪、SKI、三星SDI、中航锂电、国轩高科、AESC和PEVE，10家企业合计市场份额达到93.6%，市场集中度进一步提高，中国企业的市场份额也有所调整。</w:t>
      </w:r>
    </w:p>
    <w:p w14:paraId="02FAE165" w14:textId="23D6AC46" w:rsidR="0071786F" w:rsidRDefault="0071786F" w:rsidP="0048057D">
      <w:pPr>
        <w:rPr>
          <w:rFonts w:cs="宋体"/>
          <w:b/>
          <w:bCs/>
          <w:i/>
          <w:iCs/>
        </w:rPr>
      </w:pPr>
    </w:p>
    <w:p w14:paraId="76D6DD1A" w14:textId="77777777" w:rsidR="0048057D" w:rsidRPr="00CC5738" w:rsidRDefault="0048057D" w:rsidP="0048057D">
      <w:pPr>
        <w:pStyle w:val="a8"/>
        <w:numPr>
          <w:ilvl w:val="0"/>
          <w:numId w:val="4"/>
        </w:numPr>
        <w:ind w:firstLineChars="0"/>
        <w:outlineLvl w:val="0"/>
        <w:rPr>
          <w:b/>
        </w:rPr>
      </w:pPr>
      <w:r w:rsidRPr="002009FE">
        <w:rPr>
          <w:rFonts w:cs="宋体" w:hint="eastAsia"/>
          <w:b/>
          <w:bCs/>
        </w:rPr>
        <w:t>跨国集团和国际市场</w:t>
      </w:r>
    </w:p>
    <w:p w14:paraId="2A03B922" w14:textId="77777777" w:rsidR="0071786F" w:rsidRPr="00C049F1" w:rsidRDefault="0071786F" w:rsidP="0048057D">
      <w:pPr>
        <w:pStyle w:val="a8"/>
        <w:numPr>
          <w:ilvl w:val="0"/>
          <w:numId w:val="21"/>
        </w:numPr>
        <w:ind w:firstLineChars="0"/>
        <w:outlineLvl w:val="1"/>
        <w:rPr>
          <w:b/>
        </w:rPr>
      </w:pPr>
      <w:r w:rsidRPr="00C049F1">
        <w:rPr>
          <w:b/>
        </w:rPr>
        <w:t>2022年缺芯率将从50%降低至20%</w:t>
      </w:r>
    </w:p>
    <w:p w14:paraId="5AECF82A" w14:textId="2D008B75" w:rsidR="0071786F" w:rsidRPr="00752901" w:rsidRDefault="0071786F" w:rsidP="0048057D">
      <w:r w:rsidRPr="005B5AC6">
        <w:t>博世（中国）投资有限公司副总裁蒋建表示，2022年汽车行业芯片短缺会有一定缓解。明年缺芯率将从当前的50%恢复到2020年年底的20%左右。</w:t>
      </w:r>
    </w:p>
    <w:p w14:paraId="4FF955AC" w14:textId="77777777" w:rsidR="0071786F" w:rsidRPr="00D400CD" w:rsidRDefault="0071786F" w:rsidP="0048057D">
      <w:pPr>
        <w:pStyle w:val="a8"/>
        <w:numPr>
          <w:ilvl w:val="0"/>
          <w:numId w:val="21"/>
        </w:numPr>
        <w:ind w:firstLineChars="0"/>
        <w:outlineLvl w:val="1"/>
        <w:rPr>
          <w:b/>
        </w:rPr>
      </w:pPr>
      <w:r w:rsidRPr="00D400CD">
        <w:rPr>
          <w:b/>
        </w:rPr>
        <w:t>OPPO计划2024年初在印度推出首款电动汽车</w:t>
      </w:r>
    </w:p>
    <w:p w14:paraId="7F7FA6A3" w14:textId="1D95461A" w:rsidR="0071786F" w:rsidRPr="00752901" w:rsidRDefault="0071786F">
      <w:r w:rsidRPr="00495BCB">
        <w:t>手机制造商OPPO正在进军电动汽车领域。该公司计划在2023年底或2024年初在印度推出首款电动汽车。据报道，OPPO已经开始进行进度规划，预计电动汽车将在2024年初亮相。报道指出，OPPO已在印度为包括电动汽车和无人驾驶汽车在内的各种汽车产品申请了商标。</w:t>
      </w:r>
    </w:p>
    <w:p w14:paraId="5F28B798" w14:textId="77777777" w:rsidR="0071786F" w:rsidRPr="00A567DC" w:rsidRDefault="0071786F" w:rsidP="0048057D">
      <w:pPr>
        <w:pStyle w:val="a8"/>
        <w:numPr>
          <w:ilvl w:val="0"/>
          <w:numId w:val="21"/>
        </w:numPr>
        <w:ind w:firstLineChars="0"/>
        <w:outlineLvl w:val="1"/>
        <w:rPr>
          <w:b/>
        </w:rPr>
      </w:pPr>
      <w:r w:rsidRPr="00A567DC">
        <w:rPr>
          <w:b/>
        </w:rPr>
        <w:t>奔驰建造高性能电机</w:t>
      </w:r>
    </w:p>
    <w:p w14:paraId="12FB9A77" w14:textId="7B3E6A23" w:rsidR="0071786F" w:rsidRPr="00752901" w:rsidRDefault="0071786F" w:rsidP="0048057D">
      <w:r w:rsidRPr="00E1033F">
        <w:rPr>
          <w:rFonts w:hint="eastAsia"/>
        </w:rPr>
        <w:t>从海外媒体</w:t>
      </w:r>
      <w:r w:rsidRPr="00E1033F">
        <w:t>carscoops获悉，梅赛德斯-奔驰宣布将在柏林生产工厂制造“超高性能”轴向磁通电动机。轴向电机提供的扭矩密度比传统径向电机高30%，其技术可将定子铁质量减少80%，从而提供30%功率密度优势并将车辆行驶里程延长5%。此外，梅赛德斯-奔驰数字工厂园区也正在建设当中，最先进的试验线将于明年投入运营。</w:t>
      </w:r>
    </w:p>
    <w:p w14:paraId="59618259" w14:textId="77777777" w:rsidR="0071786F" w:rsidRPr="00A01A2F" w:rsidRDefault="0071786F" w:rsidP="0048057D">
      <w:pPr>
        <w:pStyle w:val="a8"/>
        <w:numPr>
          <w:ilvl w:val="0"/>
          <w:numId w:val="21"/>
        </w:numPr>
        <w:ind w:firstLineChars="0"/>
        <w:outlineLvl w:val="1"/>
        <w:rPr>
          <w:b/>
        </w:rPr>
      </w:pPr>
      <w:r w:rsidRPr="00A01A2F">
        <w:rPr>
          <w:b/>
        </w:rPr>
        <w:t>本田日本工厂汽车产量12月将恢复正常水平</w:t>
      </w:r>
    </w:p>
    <w:p w14:paraId="0CD2763D" w14:textId="77777777" w:rsidR="0071786F" w:rsidRDefault="0071786F" w:rsidP="0048057D">
      <w:r>
        <w:rPr>
          <w:rFonts w:hint="eastAsia"/>
        </w:rPr>
        <w:t>本田在</w:t>
      </w:r>
      <w:r>
        <w:t>11月18日表示，其日本工厂将在12月恢复正常运营，此前受芯片短缺和海外COVID-19疫情封锁造成的供应链中断影响，该公司日本工厂的产量受到了严重影响。</w:t>
      </w:r>
    </w:p>
    <w:p w14:paraId="010EB6D7" w14:textId="77777777" w:rsidR="0071786F" w:rsidRDefault="0071786F" w:rsidP="0048057D">
      <w:r>
        <w:rPr>
          <w:rFonts w:hint="eastAsia"/>
        </w:rPr>
        <w:t>本月，本田日本工厂正在以大约</w:t>
      </w:r>
      <w:r>
        <w:t>90%的产能水平运行中。本田在一份声明中称，该公司位于日本本土的两座工厂将在12月上半月中恢复至正常产能。</w:t>
      </w:r>
    </w:p>
    <w:p w14:paraId="1E7E1F1C" w14:textId="6391DF5E" w:rsidR="0071786F" w:rsidRPr="00752901" w:rsidRDefault="0071786F" w:rsidP="0048057D">
      <w:r>
        <w:rPr>
          <w:rFonts w:hint="eastAsia"/>
        </w:rPr>
        <w:t>本月早些时候，本田今年第二次削减了其全年的利润预期，并指出这样做的原因是生产延迟和材料成本的上升。</w:t>
      </w:r>
    </w:p>
    <w:p w14:paraId="677C2E87" w14:textId="77777777" w:rsidR="0071786F" w:rsidRPr="00A3723A" w:rsidRDefault="0071786F" w:rsidP="0048057D">
      <w:pPr>
        <w:pStyle w:val="a8"/>
        <w:numPr>
          <w:ilvl w:val="0"/>
          <w:numId w:val="21"/>
        </w:numPr>
        <w:ind w:firstLineChars="0"/>
        <w:outlineLvl w:val="1"/>
        <w:rPr>
          <w:b/>
        </w:rPr>
      </w:pPr>
      <w:r w:rsidRPr="00A3723A">
        <w:rPr>
          <w:rFonts w:hint="eastAsia"/>
          <w:b/>
        </w:rPr>
        <w:t>采埃孚集团与宁德时代联手</w:t>
      </w:r>
    </w:p>
    <w:p w14:paraId="2211DFD4" w14:textId="77777777" w:rsidR="0071786F" w:rsidRDefault="0071786F" w:rsidP="0048057D">
      <w:r>
        <w:t>11月19日，采埃孚集团与宁德时代新能源科技股份有限公司签署全球战略合作伙伴协议，以推进在售后服务，包括服务网络、电池相关培训、数字连接、循环再利用等领域的合作。根据协议，采埃孚和宁德时代计划促进知识体系及专业经验的互动交流，以建立可持续发展的生态系统，提供富有吸引力的出行体验。</w:t>
      </w:r>
    </w:p>
    <w:p w14:paraId="22C47DAB" w14:textId="77777777" w:rsidR="0071786F" w:rsidRDefault="0071786F" w:rsidP="0048057D">
      <w:r>
        <w:rPr>
          <w:rFonts w:hint="eastAsia"/>
        </w:rPr>
        <w:t>根据协议，宁德时代将向采埃孚提供全面的电池培训专有知识。采埃孚将以此内容与现有的</w:t>
      </w:r>
      <w:r>
        <w:t>DGUV高电压培训相结合，以增强其培训课程和其他售后服务内容的竞争力。双方还将共同制定和提升相关标准，以形成行业基准。</w:t>
      </w:r>
    </w:p>
    <w:p w14:paraId="484187A2" w14:textId="5A2659D7" w:rsidR="0071786F" w:rsidRPr="00752901" w:rsidRDefault="0071786F" w:rsidP="0048057D">
      <w:r>
        <w:rPr>
          <w:rFonts w:hint="eastAsia"/>
        </w:rPr>
        <w:t>基于双方在可持续发展领域的共同愿景与使命，采埃孚和宁德时代还就数据连接与循环再利用的合作达成了共识。</w:t>
      </w:r>
    </w:p>
    <w:p w14:paraId="14FD2AF2" w14:textId="77777777" w:rsidR="0071786F" w:rsidRPr="0002084C" w:rsidRDefault="0071786F" w:rsidP="0048057D">
      <w:pPr>
        <w:pStyle w:val="a8"/>
        <w:numPr>
          <w:ilvl w:val="0"/>
          <w:numId w:val="21"/>
        </w:numPr>
        <w:ind w:firstLineChars="0"/>
        <w:outlineLvl w:val="1"/>
        <w:rPr>
          <w:b/>
        </w:rPr>
      </w:pPr>
      <w:r w:rsidRPr="0002084C">
        <w:rPr>
          <w:rFonts w:hint="eastAsia"/>
          <w:b/>
        </w:rPr>
        <w:t>丰田首座美国电池厂或选址北卡罗来纳州</w:t>
      </w:r>
    </w:p>
    <w:p w14:paraId="792C64F0" w14:textId="6536F692" w:rsidR="0071786F" w:rsidRPr="00752901" w:rsidRDefault="0071786F" w:rsidP="0048057D">
      <w:r w:rsidRPr="005B5AC6">
        <w:t>11月20日，丰田或将在美国北卡罗来纳州格林斯博罗伯勒郊区建造一座电池工厂，计划投资额达数十亿美元。</w:t>
      </w:r>
    </w:p>
    <w:p w14:paraId="37293C08" w14:textId="77777777" w:rsidR="0071786F" w:rsidRPr="00A01A2F" w:rsidRDefault="0071786F" w:rsidP="0048057D">
      <w:pPr>
        <w:pStyle w:val="a8"/>
        <w:numPr>
          <w:ilvl w:val="0"/>
          <w:numId w:val="21"/>
        </w:numPr>
        <w:ind w:firstLineChars="0"/>
        <w:outlineLvl w:val="1"/>
        <w:rPr>
          <w:b/>
        </w:rPr>
      </w:pPr>
      <w:r w:rsidRPr="00A01A2F">
        <w:rPr>
          <w:rFonts w:hint="eastAsia"/>
          <w:b/>
        </w:rPr>
        <w:t>福特计划两年内将电动车年产量提高至</w:t>
      </w:r>
      <w:r w:rsidRPr="00A01A2F">
        <w:rPr>
          <w:b/>
        </w:rPr>
        <w:t>60万辆</w:t>
      </w:r>
    </w:p>
    <w:p w14:paraId="0728868C" w14:textId="5E19D8DB" w:rsidR="0071786F" w:rsidRPr="00752901" w:rsidRDefault="0071786F" w:rsidP="0048057D">
      <w:r>
        <w:rPr>
          <w:rFonts w:hint="eastAsia"/>
        </w:rPr>
        <w:t>福特汽车计划在</w:t>
      </w:r>
      <w:r>
        <w:t>24个月内将电动汽车年产量提高到60万辆，使其成为美国仅次于特斯拉的第二大电动汽车制造商。</w:t>
      </w:r>
    </w:p>
    <w:p w14:paraId="38BE6EC5" w14:textId="77777777" w:rsidR="0071786F" w:rsidRPr="00A505AB" w:rsidRDefault="0071786F" w:rsidP="0048057D">
      <w:pPr>
        <w:pStyle w:val="a8"/>
        <w:numPr>
          <w:ilvl w:val="0"/>
          <w:numId w:val="21"/>
        </w:numPr>
        <w:ind w:firstLineChars="0"/>
        <w:outlineLvl w:val="1"/>
        <w:rPr>
          <w:b/>
        </w:rPr>
      </w:pPr>
      <w:r w:rsidRPr="00A505AB">
        <w:rPr>
          <w:rFonts w:hint="eastAsia"/>
          <w:b/>
        </w:rPr>
        <w:t>福特开始建充电设施</w:t>
      </w:r>
      <w:r w:rsidRPr="00A505AB">
        <w:rPr>
          <w:b/>
        </w:rPr>
        <w:t>外观神似特斯拉充电桩</w:t>
      </w:r>
    </w:p>
    <w:p w14:paraId="7CAC4119" w14:textId="77777777" w:rsidR="0071786F" w:rsidRDefault="0071786F" w:rsidP="0048057D">
      <w:r>
        <w:rPr>
          <w:rFonts w:hint="eastAsia"/>
        </w:rPr>
        <w:t>福特已经开始在美国建设自己的电动汽车充电桩，该公司的充电基础设施让人们想起了特斯拉的超级充电桩（</w:t>
      </w:r>
      <w:r>
        <w:t>Supercharger）。</w:t>
      </w:r>
    </w:p>
    <w:p w14:paraId="783F4B3B" w14:textId="2D2E7450" w:rsidR="0071786F" w:rsidRPr="00752901" w:rsidRDefault="0071786F" w:rsidP="0048057D">
      <w:r>
        <w:rPr>
          <w:rFonts w:hint="eastAsia"/>
        </w:rPr>
        <w:t>在充电基础设施方面，福特此前宣布他们已经与</w:t>
      </w:r>
      <w:r>
        <w:t>ElectrifyAmerica、Ionity以及其他充电服务网络达成合作。充电基础设施是发展电动汽车的重要手段之一，只有消除人们的充电焦虑才能让更多的消费者接受电动汽车。</w:t>
      </w:r>
    </w:p>
    <w:p w14:paraId="2F361FA1" w14:textId="77777777" w:rsidR="0071786F" w:rsidRPr="0002084C" w:rsidRDefault="0071786F" w:rsidP="0048057D">
      <w:pPr>
        <w:pStyle w:val="a8"/>
        <w:numPr>
          <w:ilvl w:val="0"/>
          <w:numId w:val="21"/>
        </w:numPr>
        <w:ind w:firstLineChars="0"/>
        <w:outlineLvl w:val="1"/>
        <w:rPr>
          <w:b/>
        </w:rPr>
      </w:pPr>
      <w:r w:rsidRPr="0002084C">
        <w:rPr>
          <w:rFonts w:hint="eastAsia"/>
          <w:b/>
        </w:rPr>
        <w:t>美国或将提高新能源汽车税收补贴至最高每辆</w:t>
      </w:r>
      <w:r w:rsidRPr="0002084C">
        <w:rPr>
          <w:b/>
        </w:rPr>
        <w:t>1.25万美元</w:t>
      </w:r>
    </w:p>
    <w:p w14:paraId="19A42C9B" w14:textId="5FB6BDC0" w:rsidR="0071786F" w:rsidRPr="00752901" w:rsidRDefault="0071786F" w:rsidP="0048057D">
      <w:r w:rsidRPr="005B5AC6">
        <w:rPr>
          <w:rFonts w:hint="eastAsia"/>
        </w:rPr>
        <w:t>美国时间</w:t>
      </w:r>
      <w:r w:rsidRPr="005B5AC6">
        <w:t>11月19日，美国国会众议院通过一揽子支出法案，以应对气候变化和扩大社会福利支出。在推广新能源汽车方面，法案提出将提高单车补贴至最高每辆1.25万美元。</w:t>
      </w:r>
    </w:p>
    <w:p w14:paraId="4A500702" w14:textId="77777777" w:rsidR="0071786F" w:rsidRPr="00A01A2F" w:rsidRDefault="0071786F" w:rsidP="0048057D">
      <w:pPr>
        <w:pStyle w:val="a8"/>
        <w:numPr>
          <w:ilvl w:val="0"/>
          <w:numId w:val="21"/>
        </w:numPr>
        <w:ind w:firstLineChars="0"/>
        <w:outlineLvl w:val="1"/>
        <w:rPr>
          <w:b/>
        </w:rPr>
      </w:pPr>
      <w:r w:rsidRPr="00A01A2F">
        <w:rPr>
          <w:b/>
        </w:rPr>
        <w:t>欧洲车市10月销量创新低</w:t>
      </w:r>
    </w:p>
    <w:p w14:paraId="0768D20D" w14:textId="5CCA5805" w:rsidR="0071786F" w:rsidRPr="00752901" w:rsidRDefault="0071786F" w:rsidP="0048057D">
      <w:r>
        <w:t>11月18日，欧洲汽车制造商协会(ACEA)公布，欧洲10月新车注册量同比下降29.3%，至798,693辆，前10月累计销量仅比去年同期增长2.7%。虽然欧洲汽车销量连续第四个月下降，创历史同期新低，但有迹象表明，芯片危机最糟糕的时刻终于过去了。</w:t>
      </w:r>
    </w:p>
    <w:p w14:paraId="5B4F03AE" w14:textId="77777777" w:rsidR="0071786F" w:rsidRPr="00A567DC" w:rsidRDefault="0071786F" w:rsidP="0048057D">
      <w:pPr>
        <w:pStyle w:val="a8"/>
        <w:numPr>
          <w:ilvl w:val="0"/>
          <w:numId w:val="21"/>
        </w:numPr>
        <w:ind w:firstLineChars="0"/>
        <w:outlineLvl w:val="1"/>
        <w:rPr>
          <w:b/>
        </w:rPr>
      </w:pPr>
      <w:r w:rsidRPr="00A567DC">
        <w:rPr>
          <w:b/>
        </w:rPr>
        <w:t>苹果加速推电动汽车项目</w:t>
      </w:r>
      <w:r w:rsidRPr="00A567DC">
        <w:rPr>
          <w:rFonts w:hint="eastAsia"/>
          <w:b/>
        </w:rPr>
        <w:t>计划</w:t>
      </w:r>
      <w:r w:rsidRPr="00A567DC">
        <w:rPr>
          <w:b/>
        </w:rPr>
        <w:t>2025年发布</w:t>
      </w:r>
    </w:p>
    <w:p w14:paraId="014D0494" w14:textId="77777777" w:rsidR="0071786F" w:rsidRDefault="0071786F" w:rsidP="0048057D">
      <w:r>
        <w:rPr>
          <w:rFonts w:hint="eastAsia"/>
        </w:rPr>
        <w:t>从海外媒体</w:t>
      </w:r>
      <w:r>
        <w:t>insideevs获悉，目前苹果公司正在加速开发旗下首款电动汽车，并希望在2025年发布。据悉，苹果公司正专注于实现完全自动驾驶技术。</w:t>
      </w:r>
    </w:p>
    <w:p w14:paraId="01EA3952" w14:textId="5CAC1762" w:rsidR="0071786F" w:rsidRPr="00752901" w:rsidRDefault="0071786F" w:rsidP="0048057D">
      <w:r>
        <w:rPr>
          <w:rFonts w:hint="eastAsia"/>
        </w:rPr>
        <w:t>目前，苹果公司正在有序进行秘密造车计划</w:t>
      </w:r>
      <w:r>
        <w:t>ProjectTitan。此前，有一部分苹果工程师表示他们在几个月前还认为这款车至少会在5-7年才能问世，如今宣布计划2025年发布比许多人预测要早得多。</w:t>
      </w:r>
    </w:p>
    <w:p w14:paraId="11A5B4C7" w14:textId="77777777" w:rsidR="0071786F" w:rsidRPr="00A01A2F" w:rsidRDefault="0071786F" w:rsidP="0048057D">
      <w:pPr>
        <w:pStyle w:val="a8"/>
        <w:numPr>
          <w:ilvl w:val="0"/>
          <w:numId w:val="21"/>
        </w:numPr>
        <w:ind w:firstLineChars="0"/>
        <w:outlineLvl w:val="1"/>
        <w:rPr>
          <w:b/>
        </w:rPr>
      </w:pPr>
      <w:r w:rsidRPr="00A01A2F">
        <w:rPr>
          <w:rFonts w:hint="eastAsia"/>
          <w:b/>
        </w:rPr>
        <w:t>日本或为本国芯片厂建设承担一半的成本</w:t>
      </w:r>
    </w:p>
    <w:p w14:paraId="1D14E10D" w14:textId="77777777" w:rsidR="0071786F" w:rsidRDefault="0071786F" w:rsidP="0048057D">
      <w:r>
        <w:rPr>
          <w:rFonts w:hint="eastAsia"/>
        </w:rPr>
        <w:t>据日本高级官员透露，为了巩固日本的芯片供应，日本打算支付本国半导体工厂一半左右的建设成本，并吸引更多的美国芯片制造商。</w:t>
      </w:r>
    </w:p>
    <w:p w14:paraId="3D8ECA8A" w14:textId="720AA9FA" w:rsidR="0071786F" w:rsidRPr="00752901" w:rsidRDefault="0071786F" w:rsidP="0048057D">
      <w:r>
        <w:t>11月19日，日本首相岸田文雄公布了创纪录的56万亿日元(合4,900亿美元)财政刺激计划。他承诺日本政府将继续寻求吸引芯片制造商在日本建厂，但是他没有具体说明将提供多少资金。当日，岸田文雄表示，“更重要的是，我们要吸引美国芯片制造商，并采取其他行动促进私营部门的发展。”</w:t>
      </w:r>
    </w:p>
    <w:p w14:paraId="29FCF19E" w14:textId="77777777" w:rsidR="0071786F" w:rsidRPr="00C960B0" w:rsidRDefault="0071786F" w:rsidP="0048057D">
      <w:pPr>
        <w:pStyle w:val="a8"/>
        <w:numPr>
          <w:ilvl w:val="0"/>
          <w:numId w:val="21"/>
        </w:numPr>
        <w:ind w:firstLineChars="0"/>
        <w:outlineLvl w:val="1"/>
        <w:rPr>
          <w:b/>
        </w:rPr>
      </w:pPr>
      <w:r w:rsidRPr="00C960B0">
        <w:rPr>
          <w:rFonts w:hint="eastAsia"/>
          <w:b/>
        </w:rPr>
        <w:t>日本将电动车购车补贴翻番</w:t>
      </w:r>
      <w:r w:rsidRPr="00C960B0">
        <w:rPr>
          <w:b/>
        </w:rPr>
        <w:t>最高7000美元</w:t>
      </w:r>
    </w:p>
    <w:p w14:paraId="67CDF9EF" w14:textId="77777777" w:rsidR="0071786F" w:rsidRDefault="0071786F" w:rsidP="0048057D">
      <w:r>
        <w:rPr>
          <w:rFonts w:hint="eastAsia"/>
        </w:rPr>
        <w:t>日本将把电动汽车购车补贴提高一倍，最高可达</w:t>
      </w:r>
      <w:r>
        <w:t>80万日元（合7,000美元），与美国和欧洲的电动车购车补贴几乎持平，并为充电基础设施提供补贴。</w:t>
      </w:r>
    </w:p>
    <w:p w14:paraId="138B4A26" w14:textId="52A68634" w:rsidR="0071786F" w:rsidRPr="00752901" w:rsidRDefault="0071786F" w:rsidP="0048057D">
      <w:r>
        <w:rPr>
          <w:rFonts w:hint="eastAsia"/>
        </w:rPr>
        <w:t>日本政府计划在</w:t>
      </w:r>
      <w:r>
        <w:t>2021财年的补充预算中拨出375亿日元(合3.29亿美元)用于补贴，其中有250亿日元将用于环保汽车，电动汽车的补贴最高将提高到80万日元。补贴计划还将覆盖插电式混合动力车和燃料电池汽车，而其他混合动力车仍不包括在内。</w:t>
      </w:r>
    </w:p>
    <w:p w14:paraId="61A8519E" w14:textId="77777777" w:rsidR="0071786F" w:rsidRDefault="0071786F" w:rsidP="0048057D">
      <w:pPr>
        <w:pStyle w:val="a8"/>
        <w:numPr>
          <w:ilvl w:val="0"/>
          <w:numId w:val="21"/>
        </w:numPr>
        <w:ind w:firstLineChars="0"/>
        <w:outlineLvl w:val="1"/>
      </w:pPr>
      <w:r w:rsidRPr="008D6B5F">
        <w:rPr>
          <w:rFonts w:hint="eastAsia"/>
          <w:b/>
        </w:rPr>
        <w:t>日产计划</w:t>
      </w:r>
      <w:r w:rsidRPr="008D6B5F">
        <w:rPr>
          <w:b/>
        </w:rPr>
        <w:t>2050年全球50%销量来自电动汽车</w:t>
      </w:r>
    </w:p>
    <w:p w14:paraId="4841C151" w14:textId="47957456" w:rsidR="0071786F" w:rsidRPr="00752901" w:rsidRDefault="0071786F" w:rsidP="0048057D">
      <w:r>
        <w:rPr>
          <w:rFonts w:hint="eastAsia"/>
        </w:rPr>
        <w:t>日产计划到</w:t>
      </w:r>
      <w:r>
        <w:t>2030年时，让电动汽车和混合动力汽车的销量占其全球总销量的一半。日产表示，到2029年底，电动汽车在中国市场销量中的占比将达到50%，而在欧洲的占比将达到80%。</w:t>
      </w:r>
    </w:p>
    <w:p w14:paraId="1DA21BFE" w14:textId="77777777" w:rsidR="0071786F" w:rsidRPr="00706D49" w:rsidRDefault="0071786F" w:rsidP="0048057D">
      <w:pPr>
        <w:pStyle w:val="a8"/>
        <w:numPr>
          <w:ilvl w:val="0"/>
          <w:numId w:val="21"/>
        </w:numPr>
        <w:ind w:firstLineChars="0"/>
        <w:outlineLvl w:val="1"/>
        <w:rPr>
          <w:b/>
        </w:rPr>
      </w:pPr>
      <w:r w:rsidRPr="00706D49">
        <w:rPr>
          <w:rFonts w:hint="eastAsia"/>
          <w:b/>
        </w:rPr>
        <w:t>特斯拉得州工厂：造价</w:t>
      </w:r>
      <w:r w:rsidRPr="00706D49">
        <w:rPr>
          <w:b/>
        </w:rPr>
        <w:t>10亿美元年底前完工</w:t>
      </w:r>
    </w:p>
    <w:p w14:paraId="6F189166" w14:textId="77777777" w:rsidR="0071786F" w:rsidRDefault="0071786F" w:rsidP="0048057D">
      <w:r w:rsidRPr="005B5AC6">
        <w:t>11月22日，特斯拉向美国得克萨斯州许可和监管部门（TDLR）提交公开申请，希望批准其奥斯汀新建汽车工厂第一期工程投产，并首次披露了建设成本细节和完工日期。</w:t>
      </w:r>
    </w:p>
    <w:p w14:paraId="30C41398" w14:textId="30086F28" w:rsidR="0071786F" w:rsidRPr="00752901" w:rsidRDefault="0071786F" w:rsidP="0048057D">
      <w:r w:rsidRPr="005B5AC6">
        <w:rPr>
          <w:rFonts w:hint="eastAsia"/>
        </w:rPr>
        <w:t>特斯拉表示，这座工厂计划在</w:t>
      </w:r>
      <w:r w:rsidRPr="005B5AC6">
        <w:t>12月31日之前完成总装、涂装、压铸、冲压和车身车间设施的建设。这五个设施的总面积将接近430万平方英尺（约合0.4平方公里），总建设成本为10.6亿美元。</w:t>
      </w:r>
    </w:p>
    <w:p w14:paraId="6D3075B3" w14:textId="77777777" w:rsidR="0071786F" w:rsidRPr="00C960B0" w:rsidRDefault="0071786F" w:rsidP="0048057D">
      <w:pPr>
        <w:pStyle w:val="a8"/>
        <w:numPr>
          <w:ilvl w:val="0"/>
          <w:numId w:val="21"/>
        </w:numPr>
        <w:ind w:firstLineChars="0"/>
        <w:outlineLvl w:val="1"/>
        <w:rPr>
          <w:b/>
        </w:rPr>
      </w:pPr>
      <w:r w:rsidRPr="00C960B0">
        <w:rPr>
          <w:rFonts w:hint="eastAsia"/>
          <w:b/>
        </w:rPr>
        <w:t>现代</w:t>
      </w:r>
      <w:r w:rsidRPr="00C960B0">
        <w:rPr>
          <w:b/>
        </w:rPr>
        <w:t>:不会自产电池或与电池生产商合作</w:t>
      </w:r>
    </w:p>
    <w:p w14:paraId="2A301C84" w14:textId="3D545EFC" w:rsidR="0071786F" w:rsidRPr="00752901" w:rsidRDefault="0071786F" w:rsidP="0048057D">
      <w:r w:rsidRPr="00296852">
        <w:rPr>
          <w:rFonts w:hint="eastAsia"/>
        </w:rPr>
        <w:t>现代汽车集团董事长郑义善在</w:t>
      </w:r>
      <w:r w:rsidRPr="00296852">
        <w:t>11月22日表示，公司不会自产动力电池，这是该集团首次明确了对电池生产的立场。“我们可能会与电池生产商一起研究电池，”郑义善表示。目前，现代汽车已决定与LGEnergySolution在印度尼西亚建立合资电池工厂，该工厂计划在2024年上半年量产。</w:t>
      </w:r>
    </w:p>
    <w:p w14:paraId="12C2BA2A" w14:textId="77777777" w:rsidR="0071786F" w:rsidRPr="00702648" w:rsidRDefault="0071786F" w:rsidP="0048057D">
      <w:pPr>
        <w:pStyle w:val="a8"/>
        <w:numPr>
          <w:ilvl w:val="0"/>
          <w:numId w:val="21"/>
        </w:numPr>
        <w:ind w:firstLineChars="0"/>
        <w:outlineLvl w:val="1"/>
        <w:rPr>
          <w:b/>
        </w:rPr>
      </w:pPr>
      <w:r w:rsidRPr="00702648">
        <w:rPr>
          <w:rFonts w:hint="eastAsia"/>
          <w:b/>
        </w:rPr>
        <w:t>现代汽车</w:t>
      </w:r>
      <w:r w:rsidRPr="00702648">
        <w:rPr>
          <w:b/>
        </w:rPr>
        <w:t>2022上半年在首尔试运行L4级自动驾驶</w:t>
      </w:r>
    </w:p>
    <w:p w14:paraId="081BA0E9" w14:textId="7EEA5545" w:rsidR="0071786F" w:rsidRPr="00752901" w:rsidRDefault="0071786F" w:rsidP="0048057D">
      <w:r w:rsidRPr="005B5AC6">
        <w:t>11月25日，现代汽车计划于2022年上半年在韩国首尔试运行L4级自动驾驶汽车。据悉，现代汽车将通过名为“RoboRide”的服务平台推出这一试运行计划，采用车型为现代旗下纯电SUV：Ionic5。</w:t>
      </w:r>
    </w:p>
    <w:p w14:paraId="26F8C371" w14:textId="77777777" w:rsidR="0071786F" w:rsidRPr="00C960B0" w:rsidRDefault="0071786F" w:rsidP="0048057D">
      <w:pPr>
        <w:pStyle w:val="a8"/>
        <w:numPr>
          <w:ilvl w:val="0"/>
          <w:numId w:val="21"/>
        </w:numPr>
        <w:ind w:firstLineChars="0"/>
        <w:outlineLvl w:val="1"/>
        <w:rPr>
          <w:b/>
        </w:rPr>
      </w:pPr>
      <w:r w:rsidRPr="00C960B0">
        <w:rPr>
          <w:rFonts w:hint="eastAsia"/>
          <w:b/>
        </w:rPr>
        <w:t>英国要求所有新建筑必须配备充电桩</w:t>
      </w:r>
    </w:p>
    <w:p w14:paraId="306E93C1" w14:textId="77777777" w:rsidR="0071786F" w:rsidRDefault="0071786F" w:rsidP="0048057D">
      <w:r>
        <w:rPr>
          <w:rFonts w:hint="eastAsia"/>
        </w:rPr>
        <w:t>英国首相鲍里斯·约翰逊在一份声明中说，他的办公室宣布了新立法，从明年开始，英国的新建筑必须配备电动汽车充电桩。</w:t>
      </w:r>
    </w:p>
    <w:p w14:paraId="7F486899" w14:textId="52411EEC" w:rsidR="0071786F" w:rsidRPr="00752901" w:rsidRDefault="0071786F" w:rsidP="0048057D">
      <w:r>
        <w:rPr>
          <w:rFonts w:hint="eastAsia"/>
        </w:rPr>
        <w:t>在英国于</w:t>
      </w:r>
      <w:r>
        <w:t>2030年停止销售新的汽油和柴油动力汽车之前，这项新的法律将让英国每年新增多达14.5万根充电桩。这一要求将适用于新的住宅和非住宅建筑，例如办公楼和超市等。它也将适用于正在进行大规模翻新的带有10个以上停车位的已有建筑。</w:t>
      </w:r>
    </w:p>
    <w:sectPr w:rsidR="0071786F" w:rsidRPr="00752901" w:rsidSect="00981838">
      <w:headerReference w:type="default" r:id="rId21"/>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E4937" w14:textId="77777777" w:rsidR="007C641B" w:rsidRDefault="007C641B" w:rsidP="0048057D">
      <w:r>
        <w:separator/>
      </w:r>
    </w:p>
  </w:endnote>
  <w:endnote w:type="continuationSeparator" w:id="0">
    <w:p w14:paraId="0245AB31" w14:textId="77777777" w:rsidR="007C641B" w:rsidRDefault="007C641B" w:rsidP="0048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8A51A" w14:textId="77777777" w:rsidR="007C641B" w:rsidRDefault="007C641B" w:rsidP="0048057D">
      <w:r>
        <w:separator/>
      </w:r>
    </w:p>
  </w:footnote>
  <w:footnote w:type="continuationSeparator" w:id="0">
    <w:p w14:paraId="3411B858" w14:textId="77777777" w:rsidR="007C641B" w:rsidRDefault="007C641B" w:rsidP="0048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5409E" w14:textId="5AF67317" w:rsidR="00981838" w:rsidRDefault="00981838" w:rsidP="00981838">
    <w:pPr>
      <w:pStyle w:val="a3"/>
      <w:jc w:val="left"/>
    </w:pPr>
    <w:r>
      <w:rPr>
        <w:noProof/>
      </w:rPr>
      <w:drawing>
        <wp:inline distT="0" distB="0" distL="0" distR="0" wp14:anchorId="3BAA2CD2" wp14:editId="0A864A9C">
          <wp:extent cx="895350" cy="292100"/>
          <wp:effectExtent l="0" t="0" r="0" b="0"/>
          <wp:docPr id="1" name="图片 1"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C16EA8"/>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5CC54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53CE65B4">
      <w:start w:val="1"/>
      <w:numFmt w:val="decimal"/>
      <w:lvlText w:val="%4."/>
      <w:lvlJc w:val="left"/>
      <w:pPr>
        <w:ind w:left="420" w:hanging="420"/>
      </w:pPr>
      <w:rPr>
        <w:b/>
        <w:bCs/>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8B2068"/>
    <w:multiLevelType w:val="hybridMultilevel"/>
    <w:tmpl w:val="C3C4C7E0"/>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20"/>
  </w:num>
  <w:num w:numId="15">
    <w:abstractNumId w:val="19"/>
  </w:num>
  <w:num w:numId="16">
    <w:abstractNumId w:val="15"/>
  </w:num>
  <w:num w:numId="17">
    <w:abstractNumId w:val="1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3"/>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34"/>
    <w:rsid w:val="00000062"/>
    <w:rsid w:val="00096D21"/>
    <w:rsid w:val="000B4497"/>
    <w:rsid w:val="001043AD"/>
    <w:rsid w:val="001D67B8"/>
    <w:rsid w:val="00285B58"/>
    <w:rsid w:val="003146D0"/>
    <w:rsid w:val="00356474"/>
    <w:rsid w:val="004506E6"/>
    <w:rsid w:val="0048057D"/>
    <w:rsid w:val="004B3483"/>
    <w:rsid w:val="00542446"/>
    <w:rsid w:val="00562C2C"/>
    <w:rsid w:val="00574C52"/>
    <w:rsid w:val="005A21B5"/>
    <w:rsid w:val="006249AF"/>
    <w:rsid w:val="00646CB5"/>
    <w:rsid w:val="006905EA"/>
    <w:rsid w:val="007106B9"/>
    <w:rsid w:val="0071786F"/>
    <w:rsid w:val="0074201D"/>
    <w:rsid w:val="00752901"/>
    <w:rsid w:val="007A3C96"/>
    <w:rsid w:val="007C641B"/>
    <w:rsid w:val="007D0E30"/>
    <w:rsid w:val="00867D98"/>
    <w:rsid w:val="00870843"/>
    <w:rsid w:val="008A1ADE"/>
    <w:rsid w:val="008A26FB"/>
    <w:rsid w:val="008C0B37"/>
    <w:rsid w:val="009000FB"/>
    <w:rsid w:val="00981838"/>
    <w:rsid w:val="009B6D7D"/>
    <w:rsid w:val="009C6E7D"/>
    <w:rsid w:val="00A57434"/>
    <w:rsid w:val="00BB5C8A"/>
    <w:rsid w:val="00C43C41"/>
    <w:rsid w:val="00C7785D"/>
    <w:rsid w:val="00CF71D3"/>
    <w:rsid w:val="00D216B5"/>
    <w:rsid w:val="00D337A4"/>
    <w:rsid w:val="00E66D0D"/>
    <w:rsid w:val="00EA45DA"/>
    <w:rsid w:val="00EA54D4"/>
    <w:rsid w:val="00ED1FC8"/>
    <w:rsid w:val="00EE3133"/>
    <w:rsid w:val="00F65BDD"/>
    <w:rsid w:val="00FF4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36680"/>
  <w15:chartTrackingRefBased/>
  <w15:docId w15:val="{DB2EC25F-2A31-4547-8D33-C5F6D228C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6FB"/>
    <w:pPr>
      <w:widowControl w:val="0"/>
      <w:jc w:val="both"/>
    </w:pPr>
    <w:rPr>
      <w:szCs w:val="24"/>
    </w:rPr>
  </w:style>
  <w:style w:type="paragraph" w:styleId="2">
    <w:name w:val="heading 2"/>
    <w:basedOn w:val="a"/>
    <w:next w:val="a"/>
    <w:link w:val="20"/>
    <w:semiHidden/>
    <w:unhideWhenUsed/>
    <w:qFormat/>
    <w:rsid w:val="0048057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805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8057D"/>
    <w:rPr>
      <w:sz w:val="18"/>
      <w:szCs w:val="18"/>
    </w:rPr>
  </w:style>
  <w:style w:type="paragraph" w:styleId="a5">
    <w:name w:val="footer"/>
    <w:basedOn w:val="a"/>
    <w:link w:val="a6"/>
    <w:unhideWhenUsed/>
    <w:rsid w:val="0048057D"/>
    <w:pPr>
      <w:tabs>
        <w:tab w:val="center" w:pos="4153"/>
        <w:tab w:val="right" w:pos="8306"/>
      </w:tabs>
      <w:snapToGrid w:val="0"/>
      <w:jc w:val="left"/>
    </w:pPr>
    <w:rPr>
      <w:sz w:val="18"/>
      <w:szCs w:val="18"/>
    </w:rPr>
  </w:style>
  <w:style w:type="character" w:customStyle="1" w:styleId="a6">
    <w:name w:val="页脚 字符"/>
    <w:basedOn w:val="a0"/>
    <w:link w:val="a5"/>
    <w:rsid w:val="0048057D"/>
    <w:rPr>
      <w:sz w:val="18"/>
      <w:szCs w:val="18"/>
    </w:rPr>
  </w:style>
  <w:style w:type="character" w:customStyle="1" w:styleId="20">
    <w:name w:val="标题 2 字符"/>
    <w:basedOn w:val="a0"/>
    <w:link w:val="2"/>
    <w:semiHidden/>
    <w:rsid w:val="0048057D"/>
    <w:rPr>
      <w:rFonts w:asciiTheme="majorHAnsi" w:eastAsiaTheme="majorEastAsia" w:hAnsiTheme="majorHAnsi" w:cstheme="majorBidi"/>
      <w:b/>
      <w:bCs/>
      <w:sz w:val="32"/>
      <w:szCs w:val="32"/>
    </w:rPr>
  </w:style>
  <w:style w:type="character" w:styleId="a7">
    <w:name w:val="Strong"/>
    <w:basedOn w:val="a0"/>
    <w:qFormat/>
    <w:rsid w:val="0048057D"/>
    <w:rPr>
      <w:b/>
    </w:rPr>
  </w:style>
  <w:style w:type="paragraph" w:customStyle="1" w:styleId="1">
    <w:name w:val="列出段落1"/>
    <w:basedOn w:val="a"/>
    <w:uiPriority w:val="99"/>
    <w:qFormat/>
    <w:rsid w:val="0048057D"/>
    <w:pPr>
      <w:ind w:firstLineChars="200" w:firstLine="420"/>
    </w:pPr>
  </w:style>
  <w:style w:type="paragraph" w:styleId="a8">
    <w:name w:val="List Paragraph"/>
    <w:basedOn w:val="a"/>
    <w:uiPriority w:val="34"/>
    <w:qFormat/>
    <w:rsid w:val="0048057D"/>
    <w:pPr>
      <w:ind w:firstLineChars="200" w:firstLine="420"/>
    </w:pPr>
  </w:style>
  <w:style w:type="paragraph" w:styleId="a9">
    <w:name w:val="Balloon Text"/>
    <w:basedOn w:val="a"/>
    <w:link w:val="aa"/>
    <w:rsid w:val="0048057D"/>
    <w:rPr>
      <w:sz w:val="18"/>
      <w:szCs w:val="18"/>
    </w:rPr>
  </w:style>
  <w:style w:type="character" w:customStyle="1" w:styleId="aa">
    <w:name w:val="批注框文本 字符"/>
    <w:basedOn w:val="a0"/>
    <w:link w:val="a9"/>
    <w:rsid w:val="0048057D"/>
    <w:rPr>
      <w:sz w:val="18"/>
      <w:szCs w:val="18"/>
    </w:rPr>
  </w:style>
  <w:style w:type="character" w:customStyle="1" w:styleId="apple-converted-space">
    <w:name w:val="apple-converted-space"/>
    <w:basedOn w:val="a0"/>
    <w:rsid w:val="0048057D"/>
  </w:style>
  <w:style w:type="character" w:styleId="ab">
    <w:name w:val="annotation reference"/>
    <w:basedOn w:val="a0"/>
    <w:uiPriority w:val="99"/>
    <w:semiHidden/>
    <w:unhideWhenUsed/>
    <w:rsid w:val="0048057D"/>
    <w:rPr>
      <w:sz w:val="21"/>
      <w:szCs w:val="21"/>
    </w:rPr>
  </w:style>
  <w:style w:type="paragraph" w:styleId="ac">
    <w:name w:val="annotation text"/>
    <w:basedOn w:val="a"/>
    <w:link w:val="ad"/>
    <w:uiPriority w:val="99"/>
    <w:semiHidden/>
    <w:unhideWhenUsed/>
    <w:rsid w:val="0048057D"/>
    <w:pPr>
      <w:jc w:val="left"/>
    </w:pPr>
  </w:style>
  <w:style w:type="character" w:customStyle="1" w:styleId="ad">
    <w:name w:val="批注文字 字符"/>
    <w:basedOn w:val="a0"/>
    <w:link w:val="ac"/>
    <w:uiPriority w:val="99"/>
    <w:semiHidden/>
    <w:rsid w:val="0048057D"/>
    <w:rPr>
      <w:szCs w:val="24"/>
    </w:rPr>
  </w:style>
  <w:style w:type="paragraph" w:styleId="ae">
    <w:name w:val="annotation subject"/>
    <w:basedOn w:val="ac"/>
    <w:next w:val="ac"/>
    <w:link w:val="af"/>
    <w:uiPriority w:val="99"/>
    <w:semiHidden/>
    <w:unhideWhenUsed/>
    <w:rsid w:val="0048057D"/>
    <w:rPr>
      <w:b/>
      <w:bCs/>
    </w:rPr>
  </w:style>
  <w:style w:type="character" w:customStyle="1" w:styleId="af">
    <w:name w:val="批注主题 字符"/>
    <w:basedOn w:val="ad"/>
    <w:link w:val="ae"/>
    <w:uiPriority w:val="99"/>
    <w:semiHidden/>
    <w:rsid w:val="0048057D"/>
    <w:rPr>
      <w:b/>
      <w:bCs/>
      <w:szCs w:val="24"/>
    </w:rPr>
  </w:style>
  <w:style w:type="character" w:styleId="af0">
    <w:name w:val="Hyperlink"/>
    <w:basedOn w:val="a0"/>
    <w:uiPriority w:val="99"/>
    <w:unhideWhenUsed/>
    <w:rsid w:val="0048057D"/>
    <w:rPr>
      <w:color w:val="0563C1" w:themeColor="hyperlink"/>
      <w:u w:val="single"/>
    </w:rPr>
  </w:style>
  <w:style w:type="character" w:styleId="af1">
    <w:name w:val="Unresolved Mention"/>
    <w:basedOn w:val="a0"/>
    <w:uiPriority w:val="99"/>
    <w:semiHidden/>
    <w:unhideWhenUsed/>
    <w:rsid w:val="009818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13</Pages>
  <Words>2094</Words>
  <Characters>11941</Characters>
  <Application>Microsoft Office Word</Application>
  <DocSecurity>0</DocSecurity>
  <Lines>99</Lines>
  <Paragraphs>28</Paragraphs>
  <ScaleCrop>false</ScaleCrop>
  <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4</cp:revision>
  <dcterms:created xsi:type="dcterms:W3CDTF">2021-12-01T05:21:00Z</dcterms:created>
  <dcterms:modified xsi:type="dcterms:W3CDTF">2021-12-01T07:14:00Z</dcterms:modified>
</cp:coreProperties>
</file>