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B3C3" w14:textId="23E3122E" w:rsidR="00CA2130" w:rsidRDefault="00CA2130" w:rsidP="00CA2130">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2</w:t>
      </w:r>
      <w:r w:rsidRPr="002009FE">
        <w:rPr>
          <w:rFonts w:ascii="黑体" w:eastAsia="黑体" w:cs="黑体" w:hint="eastAsia"/>
          <w:sz w:val="24"/>
        </w:rPr>
        <w:t>期（</w:t>
      </w:r>
      <w:r>
        <w:rPr>
          <w:rFonts w:ascii="黑体" w:eastAsia="黑体" w:cs="黑体"/>
          <w:sz w:val="24"/>
        </w:rPr>
        <w:t>1</w:t>
      </w:r>
      <w:r w:rsidRPr="002009FE">
        <w:rPr>
          <w:rFonts w:ascii="黑体" w:eastAsia="黑体" w:cs="黑体" w:hint="eastAsia"/>
          <w:sz w:val="24"/>
        </w:rPr>
        <w:t>月</w:t>
      </w:r>
      <w:r>
        <w:rPr>
          <w:rFonts w:ascii="黑体" w:eastAsia="黑体" w:cs="黑体"/>
          <w:sz w:val="24"/>
        </w:rPr>
        <w:t>10</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Pr="002009FE">
        <w:rPr>
          <w:rFonts w:ascii="黑体" w:eastAsia="黑体" w:cs="黑体" w:hint="eastAsia"/>
          <w:sz w:val="24"/>
        </w:rPr>
        <w:t>月</w:t>
      </w:r>
      <w:r>
        <w:rPr>
          <w:rFonts w:ascii="黑体" w:eastAsia="黑体" w:cs="黑体"/>
          <w:sz w:val="24"/>
        </w:rPr>
        <w:t>16</w:t>
      </w:r>
      <w:r w:rsidRPr="002009FE">
        <w:rPr>
          <w:rFonts w:ascii="黑体" w:eastAsia="黑体" w:cs="黑体" w:hint="eastAsia"/>
          <w:sz w:val="24"/>
        </w:rPr>
        <w:t>日）</w:t>
      </w:r>
      <w:bookmarkEnd w:id="0"/>
    </w:p>
    <w:p w14:paraId="593D246F" w14:textId="77777777" w:rsidR="0090242E" w:rsidRPr="0090242E" w:rsidRDefault="0090242E" w:rsidP="00CA2130">
      <w:pPr>
        <w:jc w:val="center"/>
        <w:outlineLvl w:val="0"/>
        <w:rPr>
          <w:rFonts w:ascii="黑体" w:eastAsia="黑体" w:cs="Times New Roman"/>
          <w:sz w:val="24"/>
        </w:rPr>
      </w:pPr>
    </w:p>
    <w:p w14:paraId="3A3934CE" w14:textId="77777777" w:rsidR="00CA2130" w:rsidRPr="00A43D0D" w:rsidRDefault="00CA2130" w:rsidP="00CA2130">
      <w:pPr>
        <w:rPr>
          <w:rFonts w:ascii="黑体" w:eastAsia="黑体" w:cs="黑体"/>
        </w:rPr>
      </w:pPr>
      <w:r w:rsidRPr="00A43D0D">
        <w:rPr>
          <w:rFonts w:ascii="黑体" w:eastAsia="黑体" w:cs="黑体" w:hint="eastAsia"/>
        </w:rPr>
        <w:t>主要信息源自乘联会每日新闻等</w:t>
      </w:r>
    </w:p>
    <w:p w14:paraId="3FAB8B11" w14:textId="77777777" w:rsidR="00CA2130" w:rsidRPr="00A43D0D" w:rsidRDefault="00CA2130" w:rsidP="00CA2130">
      <w:pPr>
        <w:rPr>
          <w:rFonts w:ascii="黑体" w:eastAsia="黑体" w:cs="黑体"/>
        </w:rPr>
      </w:pPr>
      <w:r w:rsidRPr="00A43D0D">
        <w:rPr>
          <w:rFonts w:ascii="黑体" w:eastAsia="黑体" w:cs="黑体" w:hint="eastAsia"/>
        </w:rPr>
        <w:t>中国汽车流通协会汽车市场研究分会</w:t>
      </w:r>
    </w:p>
    <w:p w14:paraId="3302E8EA" w14:textId="77777777" w:rsidR="00CA2130" w:rsidRPr="00A43D0D" w:rsidRDefault="00CA2130" w:rsidP="00CA2130">
      <w:pPr>
        <w:rPr>
          <w:rFonts w:ascii="黑体" w:eastAsia="黑体" w:cs="黑体"/>
        </w:rPr>
      </w:pPr>
      <w:r w:rsidRPr="00A43D0D">
        <w:rPr>
          <w:rFonts w:ascii="黑体" w:eastAsia="黑体" w:cs="黑体" w:hint="eastAsia"/>
        </w:rPr>
        <w:t>乘用车市场信息联席会（乘联会）</w:t>
      </w:r>
    </w:p>
    <w:p w14:paraId="11AE1567" w14:textId="7C35AA11" w:rsidR="00CA2130" w:rsidRDefault="00CA2130" w:rsidP="00CA2130">
      <w:pPr>
        <w:rPr>
          <w:rFonts w:ascii="黑体" w:eastAsia="黑体" w:cs="黑体"/>
        </w:rPr>
      </w:pPr>
      <w:r w:rsidRPr="00A43D0D">
        <w:rPr>
          <w:rFonts w:ascii="黑体" w:eastAsia="黑体" w:cs="黑体" w:hint="eastAsia"/>
        </w:rPr>
        <w:t>网站：</w:t>
      </w:r>
      <w:hyperlink r:id="rId7" w:history="1">
        <w:r w:rsidR="0090242E" w:rsidRPr="009538D7">
          <w:rPr>
            <w:rStyle w:val="a8"/>
            <w:rFonts w:ascii="黑体" w:eastAsia="黑体" w:cs="黑体"/>
          </w:rPr>
          <w:t>http://www.cpcaauto.com</w:t>
        </w:r>
      </w:hyperlink>
    </w:p>
    <w:p w14:paraId="67223D47" w14:textId="77777777" w:rsidR="0090242E" w:rsidRPr="0090242E" w:rsidRDefault="0090242E" w:rsidP="00CA2130">
      <w:pPr>
        <w:rPr>
          <w:rFonts w:cs="Times New Roman"/>
        </w:rPr>
      </w:pPr>
    </w:p>
    <w:p w14:paraId="5E77D354" w14:textId="7DC67ED9" w:rsidR="00CA2130" w:rsidRPr="0090242E" w:rsidRDefault="00CA2130" w:rsidP="00CA2130">
      <w:pPr>
        <w:pStyle w:val="1"/>
        <w:numPr>
          <w:ilvl w:val="0"/>
          <w:numId w:val="1"/>
        </w:numPr>
        <w:ind w:left="284" w:firstLineChars="0"/>
        <w:outlineLvl w:val="0"/>
        <w:rPr>
          <w:rFonts w:ascii="宋体" w:cs="Times New Roman"/>
          <w:b/>
          <w:bCs/>
          <w:sz w:val="30"/>
          <w:szCs w:val="30"/>
        </w:rPr>
      </w:pPr>
      <w:r w:rsidRPr="0090242E">
        <w:rPr>
          <w:rFonts w:cs="宋体" w:hint="eastAsia"/>
          <w:b/>
          <w:bCs/>
          <w:sz w:val="30"/>
          <w:szCs w:val="30"/>
        </w:rPr>
        <w:t>本周车市概述：</w:t>
      </w:r>
    </w:p>
    <w:p w14:paraId="42FD50F4" w14:textId="208E3163" w:rsidR="0090242E" w:rsidRDefault="0095525C" w:rsidP="0095525C">
      <w:pPr>
        <w:pStyle w:val="a7"/>
        <w:ind w:left="225"/>
        <w:rPr>
          <w:rFonts w:ascii="宋体" w:eastAsia="宋体" w:hAnsi="宋体" w:cs="Times New Roman"/>
          <w:szCs w:val="21"/>
        </w:rPr>
      </w:pPr>
      <w:r w:rsidRPr="0095525C">
        <w:rPr>
          <w:rFonts w:ascii="宋体" w:eastAsia="宋体" w:hAnsi="宋体" w:cs="Times New Roman"/>
          <w:szCs w:val="21"/>
        </w:rPr>
        <w:t>1月10-16日，乘用车零售43.8万辆，同比</w:t>
      </w:r>
      <w:r>
        <w:rPr>
          <w:rFonts w:ascii="宋体" w:eastAsia="宋体" w:hAnsi="宋体" w:cs="Times New Roman" w:hint="eastAsia"/>
          <w:szCs w:val="21"/>
        </w:rPr>
        <w:t>下降</w:t>
      </w:r>
      <w:r w:rsidRPr="0095525C">
        <w:rPr>
          <w:rFonts w:ascii="宋体" w:eastAsia="宋体" w:hAnsi="宋体" w:cs="Times New Roman"/>
          <w:szCs w:val="21"/>
        </w:rPr>
        <w:t>2%，环比上周增长8%，较上月同期增长3%。乘用车批发40.3万辆，同比增长0%，环比上周增长10%，较</w:t>
      </w:r>
      <w:r>
        <w:rPr>
          <w:rFonts w:ascii="宋体" w:eastAsia="宋体" w:hAnsi="宋体" w:cs="Times New Roman" w:hint="eastAsia"/>
          <w:szCs w:val="21"/>
        </w:rPr>
        <w:t>上月</w:t>
      </w:r>
      <w:r w:rsidRPr="0095525C">
        <w:rPr>
          <w:rFonts w:ascii="宋体" w:eastAsia="宋体" w:hAnsi="宋体" w:cs="Times New Roman"/>
          <w:szCs w:val="21"/>
        </w:rPr>
        <w:t>同期</w:t>
      </w:r>
      <w:r>
        <w:rPr>
          <w:rFonts w:ascii="宋体" w:eastAsia="宋体" w:hAnsi="宋体" w:cs="Times New Roman" w:hint="eastAsia"/>
          <w:szCs w:val="21"/>
        </w:rPr>
        <w:t>下降</w:t>
      </w:r>
      <w:r w:rsidRPr="0095525C">
        <w:rPr>
          <w:rFonts w:ascii="宋体" w:eastAsia="宋体" w:hAnsi="宋体" w:cs="Times New Roman"/>
          <w:szCs w:val="21"/>
        </w:rPr>
        <w:t>15%。</w:t>
      </w:r>
    </w:p>
    <w:p w14:paraId="2ED3EADD" w14:textId="77777777" w:rsidR="0095525C" w:rsidRPr="0095525C" w:rsidRDefault="0095525C" w:rsidP="0095525C">
      <w:pPr>
        <w:pStyle w:val="a7"/>
        <w:ind w:left="225" w:firstLineChars="0" w:firstLine="0"/>
        <w:rPr>
          <w:rFonts w:ascii="宋体" w:eastAsia="宋体" w:hAnsi="宋体" w:cs="Times New Roman"/>
          <w:szCs w:val="21"/>
        </w:rPr>
      </w:pPr>
    </w:p>
    <w:p w14:paraId="3C4C344C" w14:textId="60FA3F88" w:rsidR="00B60469" w:rsidRDefault="00D17BFE" w:rsidP="00B60469">
      <w:pPr>
        <w:numPr>
          <w:ilvl w:val="0"/>
          <w:numId w:val="12"/>
        </w:numPr>
        <w:spacing w:line="260" w:lineRule="exact"/>
        <w:outlineLvl w:val="1"/>
        <w:rPr>
          <w:rFonts w:ascii="黑体" w:eastAsia="黑体" w:hAnsi="黑体" w:cs="Times New Roman"/>
          <w:b/>
          <w:bCs/>
          <w:sz w:val="24"/>
        </w:rPr>
      </w:pPr>
      <w:r w:rsidRPr="00D17BFE">
        <w:rPr>
          <w:rFonts w:ascii="黑体" w:eastAsia="黑体" w:hAnsi="黑体" w:cs="Times New Roman"/>
          <w:b/>
          <w:bCs/>
          <w:sz w:val="24"/>
        </w:rPr>
        <w:t>1月乘用车市场周度零售走势</w:t>
      </w:r>
    </w:p>
    <w:p w14:paraId="527F27F7" w14:textId="1327288F" w:rsidR="00B60469" w:rsidRDefault="00B60469" w:rsidP="00EA4B7F">
      <w:pPr>
        <w:rPr>
          <w:rFonts w:ascii="Calibri" w:eastAsia="宋体" w:hAnsi="Calibri" w:cs="Times New Roman"/>
          <w:szCs w:val="21"/>
        </w:rPr>
      </w:pPr>
    </w:p>
    <w:p w14:paraId="1A65ACCB" w14:textId="7CCC688B" w:rsidR="00EA4B7F" w:rsidRDefault="00EA4B7F" w:rsidP="00EA4B7F">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8D3A3AB" wp14:editId="771AC5AC">
            <wp:extent cx="4320000" cy="3153402"/>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tretch>
                      <a:fillRect/>
                    </a:stretch>
                  </pic:blipFill>
                  <pic:spPr>
                    <a:xfrm>
                      <a:off x="0" y="0"/>
                      <a:ext cx="4320000" cy="3153402"/>
                    </a:xfrm>
                    <a:prstGeom prst="rect">
                      <a:avLst/>
                    </a:prstGeom>
                  </pic:spPr>
                </pic:pic>
              </a:graphicData>
            </a:graphic>
          </wp:inline>
        </w:drawing>
      </w:r>
    </w:p>
    <w:p w14:paraId="5F591CD7" w14:textId="77777777" w:rsidR="00EA4B7F" w:rsidRDefault="00B60469" w:rsidP="00EA4B7F">
      <w:pPr>
        <w:ind w:firstLineChars="200" w:firstLine="420"/>
        <w:rPr>
          <w:rFonts w:ascii="Calibri" w:eastAsia="宋体" w:hAnsi="Calibri" w:cs="Times New Roman"/>
          <w:szCs w:val="21"/>
        </w:rPr>
      </w:pPr>
      <w:r>
        <w:rPr>
          <w:rFonts w:ascii="Calibri" w:eastAsia="宋体" w:hAnsi="Calibri" w:cs="Times New Roman"/>
          <w:szCs w:val="21"/>
        </w:rPr>
        <w:t>1</w:t>
      </w:r>
      <w:r w:rsidRPr="002A7C74">
        <w:rPr>
          <w:rFonts w:ascii="Calibri" w:eastAsia="宋体" w:hAnsi="Calibri" w:cs="Times New Roman"/>
          <w:szCs w:val="21"/>
        </w:rPr>
        <w:t>月第</w:t>
      </w:r>
      <w:r w:rsidR="00EA4B7F">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EA4B7F">
        <w:rPr>
          <w:rFonts w:ascii="Calibri" w:eastAsia="宋体" w:hAnsi="Calibri" w:cs="Times New Roman"/>
          <w:szCs w:val="21"/>
        </w:rPr>
        <w:t>8</w:t>
      </w:r>
      <w:r w:rsidR="00EA4B7F">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sidR="0090242E">
        <w:rPr>
          <w:rFonts w:ascii="Calibri" w:eastAsia="宋体" w:hAnsi="Calibri" w:cs="Times New Roman" w:hint="eastAsia"/>
          <w:szCs w:val="21"/>
        </w:rPr>
        <w:t>2</w:t>
      </w:r>
      <w:r w:rsidR="0090242E">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月的第</w:t>
      </w:r>
      <w:r w:rsidR="00EA4B7F">
        <w:rPr>
          <w:rFonts w:ascii="Calibri" w:eastAsia="宋体" w:hAnsi="Calibri" w:cs="Times New Roman" w:hint="eastAsia"/>
          <w:szCs w:val="21"/>
        </w:rPr>
        <w:t>一</w:t>
      </w:r>
      <w:r>
        <w:rPr>
          <w:rFonts w:ascii="Calibri" w:eastAsia="宋体" w:hAnsi="Calibri" w:cs="Times New Roman" w:hint="eastAsia"/>
          <w:szCs w:val="21"/>
        </w:rPr>
        <w:t>周增</w:t>
      </w:r>
      <w:r>
        <w:rPr>
          <w:rFonts w:ascii="Calibri" w:eastAsia="宋体" w:hAnsi="Calibri" w:cs="Times New Roman"/>
          <w:szCs w:val="21"/>
        </w:rPr>
        <w:t>27</w:t>
      </w:r>
      <w:r>
        <w:rPr>
          <w:rFonts w:ascii="Calibri" w:eastAsia="宋体" w:hAnsi="Calibri" w:cs="Times New Roman" w:hint="eastAsia"/>
          <w:szCs w:val="21"/>
        </w:rPr>
        <w:t>%</w:t>
      </w:r>
      <w:r>
        <w:rPr>
          <w:rFonts w:ascii="Calibri" w:eastAsia="宋体" w:hAnsi="Calibri" w:cs="Times New Roman" w:hint="eastAsia"/>
          <w:szCs w:val="21"/>
        </w:rPr>
        <w:t>。</w:t>
      </w:r>
    </w:p>
    <w:p w14:paraId="42676DC0" w14:textId="77777777" w:rsidR="00EA4B7F" w:rsidRDefault="004274D8" w:rsidP="00EA4B7F">
      <w:pPr>
        <w:ind w:firstLineChars="200" w:firstLine="420"/>
        <w:rPr>
          <w:rFonts w:ascii="Calibri" w:eastAsia="宋体" w:hAnsi="Calibri" w:cs="Times New Roman"/>
          <w:szCs w:val="21"/>
        </w:rPr>
      </w:pPr>
      <w:r>
        <w:rPr>
          <w:rFonts w:ascii="Calibri" w:eastAsia="宋体" w:hAnsi="Calibri" w:cs="Times New Roman"/>
          <w:szCs w:val="21"/>
        </w:rPr>
        <w:t>1</w:t>
      </w:r>
      <w:r w:rsidRPr="002A7C74">
        <w:rPr>
          <w:rFonts w:ascii="Calibri" w:eastAsia="宋体" w:hAnsi="Calibri" w:cs="Times New Roman"/>
          <w:szCs w:val="21"/>
        </w:rPr>
        <w:t>月第</w:t>
      </w:r>
      <w:r w:rsidR="00EA4B7F">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6.</w:t>
      </w:r>
      <w:r w:rsidR="00EA4B7F">
        <w:rPr>
          <w:rFonts w:ascii="Calibri" w:eastAsia="宋体" w:hAnsi="Calibri" w:cs="Times New Roman"/>
          <w:szCs w:val="21"/>
        </w:rPr>
        <w:t>3</w:t>
      </w:r>
      <w:r w:rsidR="00EA4B7F">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2</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平稳，相对</w:t>
      </w:r>
      <w:r w:rsidR="0090242E">
        <w:rPr>
          <w:rFonts w:ascii="Calibri" w:eastAsia="宋体" w:hAnsi="Calibri" w:cs="Times New Roman" w:hint="eastAsia"/>
          <w:szCs w:val="21"/>
        </w:rPr>
        <w:t>2</w:t>
      </w:r>
      <w:r w:rsidR="0090242E">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月的第</w:t>
      </w:r>
      <w:r w:rsidR="00EA4B7F">
        <w:rPr>
          <w:rFonts w:ascii="Calibri" w:eastAsia="宋体" w:hAnsi="Calibri" w:cs="Times New Roman" w:hint="eastAsia"/>
          <w:szCs w:val="21"/>
        </w:rPr>
        <w:t>二</w:t>
      </w:r>
      <w:r>
        <w:rPr>
          <w:rFonts w:ascii="Calibri" w:eastAsia="宋体" w:hAnsi="Calibri" w:cs="Times New Roman" w:hint="eastAsia"/>
          <w:szCs w:val="21"/>
        </w:rPr>
        <w:t>周增</w:t>
      </w:r>
      <w:r w:rsidR="00EA4B7F">
        <w:rPr>
          <w:rFonts w:ascii="Calibri" w:eastAsia="宋体" w:hAnsi="Calibri" w:cs="Times New Roman" w:hint="eastAsia"/>
          <w:szCs w:val="21"/>
        </w:rPr>
        <w:t>长</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p>
    <w:p w14:paraId="70740DC8" w14:textId="77777777" w:rsidR="00EA4B7F" w:rsidRDefault="00B60469" w:rsidP="00EA4B7F">
      <w:pPr>
        <w:ind w:firstLineChars="200" w:firstLine="420"/>
        <w:rPr>
          <w:rFonts w:ascii="Calibri" w:eastAsia="宋体" w:hAnsi="Calibri" w:cs="Times New Roman"/>
          <w:szCs w:val="21"/>
        </w:rPr>
      </w:pPr>
      <w:r>
        <w:rPr>
          <w:rFonts w:ascii="Calibri" w:eastAsia="宋体" w:hAnsi="Calibri" w:cs="Times New Roman" w:hint="eastAsia"/>
          <w:szCs w:val="21"/>
        </w:rPr>
        <w:t>由于</w:t>
      </w:r>
      <w:r w:rsidR="004274D8">
        <w:rPr>
          <w:rFonts w:ascii="Calibri" w:eastAsia="宋体" w:hAnsi="Calibri" w:cs="Times New Roman" w:hint="eastAsia"/>
          <w:szCs w:val="21"/>
        </w:rPr>
        <w:t>去年</w:t>
      </w:r>
      <w:r w:rsidR="00EA4B7F">
        <w:rPr>
          <w:rFonts w:ascii="Calibri" w:eastAsia="宋体" w:hAnsi="Calibri" w:cs="Times New Roman" w:hint="eastAsia"/>
          <w:szCs w:val="21"/>
        </w:rPr>
        <w:t>四</w:t>
      </w:r>
      <w:r w:rsidR="004274D8">
        <w:rPr>
          <w:rFonts w:ascii="Calibri" w:eastAsia="宋体" w:hAnsi="Calibri" w:cs="Times New Roman" w:hint="eastAsia"/>
          <w:szCs w:val="21"/>
        </w:rPr>
        <w:t>季度的</w:t>
      </w:r>
      <w:r>
        <w:rPr>
          <w:rFonts w:ascii="Calibri" w:eastAsia="宋体" w:hAnsi="Calibri" w:cs="Times New Roman" w:hint="eastAsia"/>
          <w:szCs w:val="21"/>
        </w:rPr>
        <w:t>的生产改善明显，</w:t>
      </w:r>
      <w:r w:rsidR="004274D8" w:rsidRPr="004274D8">
        <w:rPr>
          <w:rFonts w:ascii="Calibri" w:eastAsia="宋体" w:hAnsi="Calibri" w:cs="Times New Roman" w:hint="eastAsia"/>
          <w:szCs w:val="21"/>
        </w:rPr>
        <w:t>供给充足，部分车型终端已加大促销，是</w:t>
      </w:r>
      <w:r w:rsidR="004274D8" w:rsidRPr="004274D8">
        <w:rPr>
          <w:rFonts w:ascii="Calibri" w:eastAsia="宋体" w:hAnsi="Calibri" w:cs="Times New Roman"/>
          <w:szCs w:val="21"/>
        </w:rPr>
        <w:t>2020</w:t>
      </w:r>
      <w:r w:rsidR="004274D8" w:rsidRPr="004274D8">
        <w:rPr>
          <w:rFonts w:ascii="Calibri" w:eastAsia="宋体" w:hAnsi="Calibri" w:cs="Times New Roman"/>
          <w:szCs w:val="21"/>
        </w:rPr>
        <w:t>年下半年以来最佳购车月</w:t>
      </w:r>
      <w:r w:rsidR="004274D8">
        <w:rPr>
          <w:rFonts w:ascii="Calibri" w:eastAsia="宋体" w:hAnsi="Calibri" w:cs="Times New Roman" w:hint="eastAsia"/>
          <w:szCs w:val="21"/>
        </w:rPr>
        <w:t>，因此</w:t>
      </w:r>
      <w:r>
        <w:rPr>
          <w:rFonts w:ascii="Calibri" w:eastAsia="宋体" w:hAnsi="Calibri" w:cs="Times New Roman" w:hint="eastAsia"/>
          <w:szCs w:val="21"/>
        </w:rPr>
        <w:t>1</w:t>
      </w:r>
      <w:r>
        <w:rPr>
          <w:rFonts w:ascii="Calibri" w:eastAsia="宋体" w:hAnsi="Calibri" w:cs="Times New Roman" w:hint="eastAsia"/>
          <w:szCs w:val="21"/>
        </w:rPr>
        <w:t>月的零售回升较明显，目前的回升速度较正常，与</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年年初相比持续走强，也是较好的表现。</w:t>
      </w:r>
    </w:p>
    <w:p w14:paraId="4ABE81A9" w14:textId="77777777" w:rsidR="0097304A" w:rsidRDefault="004274D8" w:rsidP="0097304A">
      <w:pPr>
        <w:ind w:firstLineChars="200" w:firstLine="420"/>
        <w:rPr>
          <w:rFonts w:ascii="Calibri" w:eastAsia="宋体" w:hAnsi="Calibri" w:cs="Times New Roman"/>
          <w:szCs w:val="21"/>
        </w:rPr>
      </w:pPr>
      <w:r w:rsidRPr="004274D8">
        <w:rPr>
          <w:rFonts w:ascii="Calibri" w:eastAsia="宋体" w:hAnsi="Calibri" w:cs="Times New Roman"/>
          <w:szCs w:val="21"/>
        </w:rPr>
        <w:t>2021</w:t>
      </w:r>
      <w:r w:rsidRPr="004274D8">
        <w:rPr>
          <w:rFonts w:ascii="Calibri" w:eastAsia="宋体" w:hAnsi="Calibri" w:cs="Times New Roman"/>
          <w:szCs w:val="21"/>
        </w:rPr>
        <w:t>年底价格没有出现明显松动，大部分农民工在</w:t>
      </w:r>
      <w:r w:rsidRPr="004274D8">
        <w:rPr>
          <w:rFonts w:ascii="Calibri" w:eastAsia="宋体" w:hAnsi="Calibri" w:cs="Times New Roman"/>
          <w:szCs w:val="21"/>
        </w:rPr>
        <w:t>1</w:t>
      </w:r>
      <w:r w:rsidRPr="004274D8">
        <w:rPr>
          <w:rFonts w:ascii="Calibri" w:eastAsia="宋体" w:hAnsi="Calibri" w:cs="Times New Roman"/>
          <w:szCs w:val="21"/>
        </w:rPr>
        <w:t>月份才能返乡，</w:t>
      </w:r>
      <w:r w:rsidRPr="004274D8">
        <w:rPr>
          <w:rFonts w:ascii="Calibri" w:eastAsia="宋体" w:hAnsi="Calibri" w:cs="Times New Roman"/>
          <w:szCs w:val="21"/>
        </w:rPr>
        <w:t>1</w:t>
      </w:r>
      <w:r w:rsidRPr="004274D8">
        <w:rPr>
          <w:rFonts w:ascii="Calibri" w:eastAsia="宋体" w:hAnsi="Calibri" w:cs="Times New Roman"/>
          <w:szCs w:val="21"/>
        </w:rPr>
        <w:t>月份仍将是一个购车的好时机</w:t>
      </w:r>
      <w:r w:rsidR="0090242E">
        <w:rPr>
          <w:rFonts w:ascii="Calibri" w:eastAsia="宋体" w:hAnsi="Calibri" w:cs="Times New Roman" w:hint="eastAsia"/>
          <w:szCs w:val="21"/>
        </w:rPr>
        <w:t>，</w:t>
      </w:r>
      <w:r>
        <w:rPr>
          <w:rFonts w:ascii="Calibri" w:eastAsia="宋体" w:hAnsi="Calibri" w:cs="Times New Roman" w:hint="eastAsia"/>
          <w:szCs w:val="21"/>
        </w:rPr>
        <w:t>但</w:t>
      </w:r>
      <w:r w:rsidR="00B60469">
        <w:rPr>
          <w:rFonts w:ascii="Calibri" w:eastAsia="宋体" w:hAnsi="Calibri" w:cs="Times New Roman" w:hint="eastAsia"/>
          <w:szCs w:val="21"/>
        </w:rPr>
        <w:t>近期</w:t>
      </w:r>
      <w:r w:rsidR="00B60469" w:rsidRPr="00946C81">
        <w:rPr>
          <w:rFonts w:ascii="Calibri" w:eastAsia="宋体" w:hAnsi="Calibri" w:cs="Times New Roman" w:hint="eastAsia"/>
          <w:szCs w:val="21"/>
        </w:rPr>
        <w:t>散点式的疫情</w:t>
      </w:r>
      <w:r w:rsidRPr="004274D8">
        <w:rPr>
          <w:rFonts w:ascii="Calibri" w:eastAsia="宋体" w:hAnsi="Calibri" w:cs="Times New Roman" w:hint="eastAsia"/>
          <w:szCs w:val="21"/>
        </w:rPr>
        <w:t>使</w:t>
      </w:r>
      <w:r>
        <w:rPr>
          <w:rFonts w:ascii="Calibri" w:eastAsia="宋体" w:hAnsi="Calibri" w:cs="Times New Roman" w:hint="eastAsia"/>
          <w:szCs w:val="21"/>
        </w:rPr>
        <w:t>个别城市的</w:t>
      </w:r>
      <w:r w:rsidR="0097304A">
        <w:rPr>
          <w:rFonts w:ascii="Calibri" w:eastAsia="宋体" w:hAnsi="Calibri" w:cs="Times New Roman" w:hint="eastAsia"/>
          <w:szCs w:val="21"/>
        </w:rPr>
        <w:t>厂商</w:t>
      </w:r>
      <w:r w:rsidRPr="004274D8">
        <w:rPr>
          <w:rFonts w:ascii="Calibri" w:eastAsia="宋体" w:hAnsi="Calibri" w:cs="Times New Roman" w:hint="eastAsia"/>
          <w:szCs w:val="21"/>
        </w:rPr>
        <w:t>和供应商工厂停产</w:t>
      </w:r>
      <w:r>
        <w:rPr>
          <w:rFonts w:ascii="Calibri" w:eastAsia="宋体" w:hAnsi="Calibri" w:cs="Times New Roman" w:hint="eastAsia"/>
          <w:szCs w:val="21"/>
        </w:rPr>
        <w:t>，也</w:t>
      </w:r>
      <w:r w:rsidR="00B60469" w:rsidRPr="00946C81">
        <w:rPr>
          <w:rFonts w:ascii="Calibri" w:eastAsia="宋体" w:hAnsi="Calibri" w:cs="Times New Roman" w:hint="eastAsia"/>
          <w:szCs w:val="21"/>
        </w:rPr>
        <w:t>容易打乱当地市民的生产生活节奏，</w:t>
      </w:r>
      <w:r w:rsidRPr="004274D8">
        <w:rPr>
          <w:rFonts w:ascii="Calibri" w:eastAsia="宋体" w:hAnsi="Calibri" w:cs="Times New Roman" w:hint="eastAsia"/>
          <w:szCs w:val="21"/>
        </w:rPr>
        <w:t>消费者线下进店购车受阻。</w:t>
      </w:r>
      <w:r>
        <w:rPr>
          <w:rFonts w:ascii="Calibri" w:eastAsia="宋体" w:hAnsi="Calibri" w:cs="Times New Roman" w:hint="eastAsia"/>
          <w:szCs w:val="21"/>
        </w:rPr>
        <w:t>由于</w:t>
      </w:r>
      <w:r w:rsidRPr="004274D8">
        <w:rPr>
          <w:rFonts w:ascii="Calibri" w:eastAsia="宋体" w:hAnsi="Calibri" w:cs="Times New Roman" w:hint="eastAsia"/>
          <w:szCs w:val="21"/>
        </w:rPr>
        <w:t>连续几个月终端价格同比</w:t>
      </w:r>
      <w:r w:rsidR="0090242E">
        <w:rPr>
          <w:rFonts w:ascii="Calibri" w:eastAsia="宋体" w:hAnsi="Calibri" w:cs="Times New Roman" w:hint="eastAsia"/>
          <w:szCs w:val="21"/>
        </w:rPr>
        <w:t>2</w:t>
      </w:r>
      <w:r w:rsidR="0090242E">
        <w:rPr>
          <w:rFonts w:ascii="Calibri" w:eastAsia="宋体" w:hAnsi="Calibri" w:cs="Times New Roman"/>
          <w:szCs w:val="21"/>
        </w:rPr>
        <w:t>0</w:t>
      </w:r>
      <w:r w:rsidRPr="004274D8">
        <w:rPr>
          <w:rFonts w:ascii="Calibri" w:eastAsia="宋体" w:hAnsi="Calibri" w:cs="Times New Roman"/>
          <w:szCs w:val="21"/>
        </w:rPr>
        <w:t>20</w:t>
      </w:r>
      <w:r w:rsidRPr="004274D8">
        <w:rPr>
          <w:rFonts w:ascii="Calibri" w:eastAsia="宋体" w:hAnsi="Calibri" w:cs="Times New Roman"/>
          <w:szCs w:val="21"/>
        </w:rPr>
        <w:t>年回收了不少，经销商尝到了利润的甜头，这年前的旺季，更不可能放过</w:t>
      </w:r>
      <w:r>
        <w:rPr>
          <w:rFonts w:ascii="Calibri" w:eastAsia="宋体" w:hAnsi="Calibri" w:cs="Times New Roman" w:hint="eastAsia"/>
          <w:szCs w:val="21"/>
        </w:rPr>
        <w:t>，因此销售热情很高</w:t>
      </w:r>
      <w:r w:rsidRPr="004274D8">
        <w:rPr>
          <w:rFonts w:ascii="Calibri" w:eastAsia="宋体" w:hAnsi="Calibri" w:cs="Times New Roman"/>
          <w:szCs w:val="21"/>
        </w:rPr>
        <w:t>。</w:t>
      </w:r>
    </w:p>
    <w:p w14:paraId="111D13B1" w14:textId="60B65D5D" w:rsidR="00B60469" w:rsidRDefault="00B60469" w:rsidP="0097304A">
      <w:pPr>
        <w:ind w:firstLineChars="200" w:firstLine="420"/>
        <w:rPr>
          <w:rFonts w:ascii="Calibri" w:eastAsia="宋体" w:hAnsi="Calibri" w:cs="Times New Roman"/>
          <w:szCs w:val="21"/>
        </w:rPr>
      </w:pPr>
      <w:r>
        <w:rPr>
          <w:rFonts w:ascii="Calibri" w:eastAsia="宋体" w:hAnsi="Calibri" w:cs="Times New Roman" w:hint="eastAsia"/>
          <w:szCs w:val="21"/>
        </w:rPr>
        <w:t>由于</w:t>
      </w:r>
      <w:r w:rsidR="0097304A">
        <w:rPr>
          <w:rFonts w:ascii="Calibri" w:eastAsia="宋体" w:hAnsi="Calibri" w:cs="Times New Roman" w:hint="eastAsia"/>
          <w:szCs w:val="21"/>
        </w:rPr>
        <w:t>防控</w:t>
      </w:r>
      <w:r>
        <w:rPr>
          <w:rFonts w:ascii="Calibri" w:eastAsia="宋体" w:hAnsi="Calibri" w:cs="Times New Roman" w:hint="eastAsia"/>
          <w:szCs w:val="21"/>
        </w:rPr>
        <w:t>疫情的需要，购车代步出行的刚需效果更为突出，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车辆的需求持续回升</w:t>
      </w:r>
      <w:r>
        <w:rPr>
          <w:rFonts w:ascii="Calibri" w:eastAsia="宋体" w:hAnsi="Calibri" w:cs="Times New Roman" w:hint="eastAsia"/>
          <w:szCs w:val="21"/>
        </w:rPr>
        <w:t>，电动车表现较好</w:t>
      </w:r>
      <w:r w:rsidRPr="00964CBA">
        <w:rPr>
          <w:rFonts w:ascii="Calibri" w:eastAsia="宋体" w:hAnsi="Calibri" w:cs="Times New Roman" w:hint="eastAsia"/>
          <w:szCs w:val="21"/>
        </w:rPr>
        <w:t>。</w:t>
      </w:r>
    </w:p>
    <w:p w14:paraId="23891D55" w14:textId="455DB5A4" w:rsidR="00B60469" w:rsidRDefault="00B60469" w:rsidP="00B60469">
      <w:pPr>
        <w:ind w:firstLineChars="135" w:firstLine="283"/>
        <w:rPr>
          <w:rFonts w:ascii="Calibri" w:eastAsia="宋体" w:hAnsi="Calibri" w:cs="Times New Roman"/>
          <w:szCs w:val="21"/>
        </w:rPr>
      </w:pPr>
    </w:p>
    <w:p w14:paraId="5E3709EA" w14:textId="56DF60C3" w:rsidR="00B60469" w:rsidRPr="0090242E" w:rsidRDefault="0097304A" w:rsidP="0090242E">
      <w:pPr>
        <w:pStyle w:val="a7"/>
        <w:numPr>
          <w:ilvl w:val="0"/>
          <w:numId w:val="12"/>
        </w:numPr>
        <w:ind w:firstLineChars="0"/>
        <w:outlineLvl w:val="1"/>
        <w:rPr>
          <w:rFonts w:ascii="黑体" w:eastAsia="黑体" w:hAnsi="黑体" w:cs="Times New Roman"/>
          <w:b/>
          <w:bCs/>
          <w:sz w:val="24"/>
        </w:rPr>
      </w:pPr>
      <w:r w:rsidRPr="0097304A">
        <w:rPr>
          <w:rFonts w:ascii="黑体" w:eastAsia="黑体" w:hAnsi="黑体" w:cs="Times New Roman"/>
          <w:b/>
          <w:bCs/>
          <w:sz w:val="24"/>
        </w:rPr>
        <w:lastRenderedPageBreak/>
        <w:t>1月乘用车市场周度批发走势</w:t>
      </w:r>
    </w:p>
    <w:p w14:paraId="69C4EE28" w14:textId="14843A3D" w:rsidR="00B60469" w:rsidRDefault="00B60469" w:rsidP="00B04667">
      <w:pPr>
        <w:rPr>
          <w:rFonts w:ascii="Calibri" w:eastAsia="宋体" w:hAnsi="Calibri" w:cs="Times New Roman"/>
          <w:szCs w:val="21"/>
        </w:rPr>
      </w:pPr>
    </w:p>
    <w:p w14:paraId="7A6BABB4" w14:textId="1714203B" w:rsidR="0097304A" w:rsidRDefault="0097304A" w:rsidP="0097304A">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7A2524FD" wp14:editId="41EB56DF">
            <wp:extent cx="4320000" cy="3157043"/>
            <wp:effectExtent l="0" t="0" r="444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tretch>
                      <a:fillRect/>
                    </a:stretch>
                  </pic:blipFill>
                  <pic:spPr>
                    <a:xfrm>
                      <a:off x="0" y="0"/>
                      <a:ext cx="4320000" cy="3157043"/>
                    </a:xfrm>
                    <a:prstGeom prst="rect">
                      <a:avLst/>
                    </a:prstGeom>
                  </pic:spPr>
                </pic:pic>
              </a:graphicData>
            </a:graphic>
          </wp:inline>
        </w:drawing>
      </w:r>
    </w:p>
    <w:p w14:paraId="42F16F31" w14:textId="5D41EB39" w:rsidR="00B60469" w:rsidRDefault="00B60469" w:rsidP="00B60469">
      <w:pPr>
        <w:ind w:firstLineChars="202" w:firstLine="424"/>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B04667">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Pr>
          <w:rFonts w:ascii="Calibri" w:eastAsia="宋体" w:hAnsi="Calibri" w:cs="Times New Roman"/>
          <w:szCs w:val="21"/>
        </w:rPr>
        <w:t>5.2</w:t>
      </w:r>
      <w:r w:rsidR="00EA4B7F">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。本周相对于</w:t>
      </w:r>
      <w:r w:rsidR="0090242E">
        <w:rPr>
          <w:rFonts w:ascii="Calibri" w:eastAsia="宋体" w:hAnsi="Calibri" w:cs="Times New Roman" w:hint="eastAsia"/>
          <w:szCs w:val="21"/>
        </w:rPr>
        <w:t>2</w:t>
      </w:r>
      <w:r w:rsidR="0090242E">
        <w:rPr>
          <w:rFonts w:ascii="Calibri" w:eastAsia="宋体" w:hAnsi="Calibri" w:cs="Times New Roman"/>
          <w:szCs w:val="21"/>
        </w:rPr>
        <w:t>021</w:t>
      </w:r>
      <w:r w:rsidR="0090242E">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月第一周的销量下降</w:t>
      </w:r>
      <w:r>
        <w:rPr>
          <w:rFonts w:ascii="Calibri" w:eastAsia="宋体" w:hAnsi="Calibri" w:cs="Times New Roman" w:hint="eastAsia"/>
          <w:szCs w:val="21"/>
        </w:rPr>
        <w:t>2%</w:t>
      </w:r>
      <w:r>
        <w:rPr>
          <w:rFonts w:ascii="Calibri" w:eastAsia="宋体" w:hAnsi="Calibri" w:cs="Times New Roman" w:hint="eastAsia"/>
          <w:szCs w:val="21"/>
        </w:rPr>
        <w:t>。</w:t>
      </w:r>
    </w:p>
    <w:p w14:paraId="7662BFCB" w14:textId="72C1D9C7" w:rsidR="008F1108" w:rsidRDefault="008F1108" w:rsidP="008F1108">
      <w:pPr>
        <w:ind w:firstLineChars="202" w:firstLine="424"/>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B04667">
        <w:rPr>
          <w:rFonts w:ascii="Calibri" w:eastAsia="宋体" w:hAnsi="Calibri" w:cs="Times New Roman" w:hint="eastAsia"/>
          <w:szCs w:val="21"/>
        </w:rPr>
        <w:t>二</w:t>
      </w:r>
      <w:r>
        <w:rPr>
          <w:rFonts w:ascii="Calibri" w:eastAsia="宋体" w:hAnsi="Calibri" w:cs="Times New Roman" w:hint="eastAsia"/>
          <w:szCs w:val="21"/>
        </w:rPr>
        <w:t>周狭义乘用车全口径日均批发</w:t>
      </w:r>
      <w:r>
        <w:rPr>
          <w:rFonts w:ascii="Calibri" w:eastAsia="宋体" w:hAnsi="Calibri" w:cs="Times New Roman"/>
          <w:szCs w:val="21"/>
        </w:rPr>
        <w:t>5.</w:t>
      </w:r>
      <w:r w:rsidR="00B04667">
        <w:rPr>
          <w:rFonts w:ascii="Calibri" w:eastAsia="宋体" w:hAnsi="Calibri" w:cs="Times New Roman"/>
          <w:szCs w:val="21"/>
        </w:rPr>
        <w:t>8</w:t>
      </w:r>
      <w:r w:rsidR="00EA4B7F">
        <w:rPr>
          <w:rFonts w:ascii="Calibri" w:eastAsia="宋体" w:hAnsi="Calibri" w:cs="Times New Roman"/>
          <w:szCs w:val="21"/>
        </w:rPr>
        <w:t>辆</w:t>
      </w:r>
      <w:r>
        <w:rPr>
          <w:rFonts w:ascii="Calibri" w:eastAsia="宋体" w:hAnsi="Calibri" w:cs="Times New Roman"/>
          <w:szCs w:val="21"/>
        </w:rPr>
        <w:t>，同比</w:t>
      </w:r>
      <w:r w:rsidR="00B04667">
        <w:rPr>
          <w:rFonts w:ascii="Calibri" w:eastAsia="宋体" w:hAnsi="Calibri" w:cs="Times New Roman" w:hint="eastAsia"/>
          <w:szCs w:val="21"/>
        </w:rPr>
        <w:t>增长</w:t>
      </w:r>
      <w:r>
        <w:rPr>
          <w:rFonts w:ascii="Calibri" w:eastAsia="宋体" w:hAnsi="Calibri" w:cs="Times New Roman" w:hint="eastAsia"/>
          <w:szCs w:val="21"/>
        </w:rPr>
        <w:t>。本周相对于</w:t>
      </w:r>
      <w:r w:rsidR="0090242E">
        <w:rPr>
          <w:rFonts w:ascii="Calibri" w:eastAsia="宋体" w:hAnsi="Calibri" w:cs="Times New Roman" w:hint="eastAsia"/>
          <w:szCs w:val="21"/>
        </w:rPr>
        <w:t>2</w:t>
      </w:r>
      <w:r w:rsidR="0090242E">
        <w:rPr>
          <w:rFonts w:ascii="Calibri" w:eastAsia="宋体" w:hAnsi="Calibri" w:cs="Times New Roman"/>
          <w:szCs w:val="21"/>
        </w:rPr>
        <w:t>021</w:t>
      </w:r>
      <w:r w:rsidR="0090242E">
        <w:rPr>
          <w:rFonts w:ascii="Calibri" w:eastAsia="宋体" w:hAnsi="Calibri" w:cs="Times New Roman" w:hint="eastAsia"/>
          <w:szCs w:val="21"/>
        </w:rPr>
        <w:t>年</w:t>
      </w:r>
      <w:r>
        <w:rPr>
          <w:rFonts w:ascii="Calibri" w:eastAsia="宋体" w:hAnsi="Calibri" w:cs="Times New Roman"/>
          <w:szCs w:val="21"/>
        </w:rPr>
        <w:t>12</w:t>
      </w:r>
      <w:r>
        <w:rPr>
          <w:rFonts w:ascii="Calibri" w:eastAsia="宋体" w:hAnsi="Calibri" w:cs="Times New Roman" w:hint="eastAsia"/>
          <w:szCs w:val="21"/>
        </w:rPr>
        <w:t>月第</w:t>
      </w:r>
      <w:r w:rsidR="00B04667">
        <w:rPr>
          <w:rFonts w:ascii="Calibri" w:eastAsia="宋体" w:hAnsi="Calibri" w:cs="Times New Roman" w:hint="eastAsia"/>
          <w:szCs w:val="21"/>
        </w:rPr>
        <w:t>二</w:t>
      </w:r>
      <w:r>
        <w:rPr>
          <w:rFonts w:ascii="Calibri" w:eastAsia="宋体" w:hAnsi="Calibri" w:cs="Times New Roman" w:hint="eastAsia"/>
          <w:szCs w:val="21"/>
        </w:rPr>
        <w:t>的销量下降</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w:t>
      </w:r>
    </w:p>
    <w:p w14:paraId="43437701" w14:textId="490BA655" w:rsidR="00B60469" w:rsidRPr="00ED3689" w:rsidRDefault="008F1108" w:rsidP="00B60469">
      <w:pPr>
        <w:ind w:firstLineChars="202" w:firstLine="424"/>
        <w:rPr>
          <w:rFonts w:ascii="Calibri" w:eastAsia="宋体" w:hAnsi="Calibri" w:cs="Times New Roman"/>
          <w:szCs w:val="21"/>
        </w:rPr>
      </w:pPr>
      <w:r>
        <w:rPr>
          <w:rFonts w:ascii="Calibri" w:eastAsia="宋体" w:hAnsi="Calibri" w:cs="Times New Roman" w:hint="eastAsia"/>
          <w:szCs w:val="21"/>
        </w:rPr>
        <w:t>目前</w:t>
      </w:r>
      <w:r>
        <w:rPr>
          <w:rFonts w:ascii="Calibri" w:eastAsia="宋体" w:hAnsi="Calibri" w:cs="Times New Roman" w:hint="eastAsia"/>
          <w:szCs w:val="21"/>
        </w:rPr>
        <w:t>1</w:t>
      </w:r>
      <w:r>
        <w:rPr>
          <w:rFonts w:ascii="Calibri" w:eastAsia="宋体" w:hAnsi="Calibri" w:cs="Times New Roman" w:hint="eastAsia"/>
          <w:szCs w:val="21"/>
        </w:rPr>
        <w:t>月</w:t>
      </w:r>
      <w:r w:rsidR="00B04667">
        <w:rPr>
          <w:rFonts w:ascii="Calibri" w:eastAsia="宋体" w:hAnsi="Calibri" w:cs="Times New Roman" w:hint="eastAsia"/>
          <w:szCs w:val="21"/>
        </w:rPr>
        <w:t>一至二</w:t>
      </w:r>
      <w:r>
        <w:rPr>
          <w:rFonts w:ascii="Calibri" w:eastAsia="宋体" w:hAnsi="Calibri" w:cs="Times New Roman" w:hint="eastAsia"/>
          <w:szCs w:val="21"/>
        </w:rPr>
        <w:t>周的</w:t>
      </w:r>
      <w:r w:rsidR="00B04667">
        <w:rPr>
          <w:rFonts w:ascii="Calibri" w:eastAsia="宋体" w:hAnsi="Calibri" w:cs="Times New Roman" w:hint="eastAsia"/>
          <w:szCs w:val="21"/>
        </w:rPr>
        <w:t>厂商</w:t>
      </w:r>
      <w:r>
        <w:rPr>
          <w:rFonts w:ascii="Calibri" w:eastAsia="宋体" w:hAnsi="Calibri" w:cs="Times New Roman" w:hint="eastAsia"/>
          <w:szCs w:val="21"/>
        </w:rPr>
        <w:t>批发与去年同期相比下降</w:t>
      </w:r>
      <w:r>
        <w:rPr>
          <w:rFonts w:ascii="Calibri" w:eastAsia="宋体" w:hAnsi="Calibri" w:cs="Times New Roman" w:hint="eastAsia"/>
          <w:szCs w:val="21"/>
        </w:rPr>
        <w:t>2%</w:t>
      </w:r>
      <w:r>
        <w:rPr>
          <w:rFonts w:ascii="Calibri" w:eastAsia="宋体" w:hAnsi="Calibri" w:cs="Times New Roman" w:hint="eastAsia"/>
          <w:szCs w:val="21"/>
        </w:rPr>
        <w:t>，开局走势相对较好。</w:t>
      </w:r>
      <w:r w:rsidR="00B60469" w:rsidRPr="00ED3689">
        <w:rPr>
          <w:rFonts w:ascii="Calibri" w:eastAsia="宋体" w:hAnsi="Calibri" w:cs="Times New Roman" w:hint="eastAsia"/>
          <w:szCs w:val="21"/>
        </w:rPr>
        <w:t>近一段疫情下，国内外环境中不确定因素增多，上游大宗商品价格上涨，影响车市增长</w:t>
      </w:r>
      <w:r w:rsidR="00B04667">
        <w:rPr>
          <w:rFonts w:ascii="Calibri" w:eastAsia="宋体" w:hAnsi="Calibri" w:cs="Times New Roman" w:hint="eastAsia"/>
          <w:szCs w:val="21"/>
        </w:rPr>
        <w:t>的</w:t>
      </w:r>
      <w:r w:rsidR="00B60469" w:rsidRPr="00ED3689">
        <w:rPr>
          <w:rFonts w:ascii="Calibri" w:eastAsia="宋体" w:hAnsi="Calibri" w:cs="Times New Roman" w:hint="eastAsia"/>
          <w:szCs w:val="21"/>
        </w:rPr>
        <w:t>力加大。</w:t>
      </w:r>
    </w:p>
    <w:p w14:paraId="25D8C644" w14:textId="36F8DC4E" w:rsidR="008F1108" w:rsidRPr="004274D8" w:rsidRDefault="00B60469" w:rsidP="008F1108">
      <w:pPr>
        <w:ind w:firstLineChars="135" w:firstLine="283"/>
        <w:rPr>
          <w:rFonts w:ascii="Calibri" w:eastAsia="宋体" w:hAnsi="Calibri" w:cs="Times New Roman"/>
          <w:szCs w:val="21"/>
        </w:rPr>
      </w:pPr>
      <w:r w:rsidRPr="00ED3689">
        <w:rPr>
          <w:rFonts w:ascii="Calibri" w:eastAsia="宋体" w:hAnsi="Calibri" w:cs="Times New Roman" w:hint="eastAsia"/>
          <w:szCs w:val="21"/>
        </w:rPr>
        <w:t>低库存带来的传统车供</w:t>
      </w:r>
      <w:r>
        <w:rPr>
          <w:rFonts w:ascii="Calibri" w:eastAsia="宋体" w:hAnsi="Calibri" w:cs="Times New Roman" w:hint="eastAsia"/>
          <w:szCs w:val="21"/>
        </w:rPr>
        <w:t>需错配问题仍需要一定时间调整。</w:t>
      </w:r>
      <w:r w:rsidR="008F1108" w:rsidRPr="004274D8">
        <w:rPr>
          <w:rFonts w:ascii="Calibri" w:eastAsia="宋体" w:hAnsi="Calibri" w:cs="Times New Roman" w:hint="eastAsia"/>
          <w:szCs w:val="21"/>
        </w:rPr>
        <w:t>豪华、自主品牌订单预留较多，</w:t>
      </w:r>
      <w:r w:rsidRPr="00946C81">
        <w:rPr>
          <w:rFonts w:ascii="Calibri" w:eastAsia="宋体" w:hAnsi="Calibri" w:cs="Times New Roman" w:hint="eastAsia"/>
          <w:szCs w:val="21"/>
        </w:rPr>
        <w:t>燃油车由于销量的惯性，仍然有增长的空间</w:t>
      </w:r>
      <w:r>
        <w:rPr>
          <w:rFonts w:ascii="Calibri" w:eastAsia="宋体" w:hAnsi="Calibri" w:cs="Times New Roman" w:hint="eastAsia"/>
          <w:szCs w:val="21"/>
        </w:rPr>
        <w:t>。由于</w:t>
      </w:r>
      <w:r>
        <w:rPr>
          <w:rFonts w:ascii="Calibri" w:eastAsia="宋体" w:hAnsi="Calibri" w:cs="Times New Roman" w:hint="eastAsia"/>
          <w:szCs w:val="21"/>
        </w:rPr>
        <w:t>2</w:t>
      </w:r>
      <w:r>
        <w:rPr>
          <w:rFonts w:ascii="Calibri" w:eastAsia="宋体" w:hAnsi="Calibri" w:cs="Times New Roman"/>
          <w:szCs w:val="21"/>
        </w:rPr>
        <w:t>022</w:t>
      </w:r>
      <w:r w:rsidRPr="0000272B">
        <w:rPr>
          <w:rFonts w:ascii="Calibri" w:eastAsia="宋体" w:hAnsi="Calibri" w:cs="Times New Roman"/>
          <w:szCs w:val="21"/>
        </w:rPr>
        <w:t>年春节提前，催化</w:t>
      </w:r>
      <w:r>
        <w:rPr>
          <w:rFonts w:ascii="Calibri" w:eastAsia="宋体" w:hAnsi="Calibri" w:cs="Times New Roman" w:hint="eastAsia"/>
          <w:szCs w:val="21"/>
        </w:rPr>
        <w:t>备货增库存热情，带动批发增长。部分车企去年</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月冲刺较努力，因此</w:t>
      </w:r>
      <w:r>
        <w:rPr>
          <w:rFonts w:ascii="Calibri" w:eastAsia="宋体" w:hAnsi="Calibri" w:cs="Times New Roman" w:hint="eastAsia"/>
          <w:szCs w:val="21"/>
        </w:rPr>
        <w:t>1</w:t>
      </w:r>
      <w:r>
        <w:rPr>
          <w:rFonts w:ascii="Calibri" w:eastAsia="宋体" w:hAnsi="Calibri" w:cs="Times New Roman" w:hint="eastAsia"/>
          <w:szCs w:val="21"/>
        </w:rPr>
        <w:t>月</w:t>
      </w:r>
      <w:r w:rsidR="008F1108">
        <w:rPr>
          <w:rFonts w:ascii="Calibri" w:eastAsia="宋体" w:hAnsi="Calibri" w:cs="Times New Roman" w:hint="eastAsia"/>
          <w:szCs w:val="21"/>
        </w:rPr>
        <w:t>前两周</w:t>
      </w:r>
      <w:r>
        <w:rPr>
          <w:rFonts w:ascii="Calibri" w:eastAsia="宋体" w:hAnsi="Calibri" w:cs="Times New Roman" w:hint="eastAsia"/>
          <w:szCs w:val="21"/>
        </w:rPr>
        <w:t>的开局不是很强。</w:t>
      </w:r>
      <w:r w:rsidR="008F1108">
        <w:rPr>
          <w:rFonts w:ascii="Calibri" w:eastAsia="宋体" w:hAnsi="Calibri" w:cs="Times New Roman" w:hint="eastAsia"/>
          <w:szCs w:val="21"/>
        </w:rPr>
        <w:t>近期</w:t>
      </w:r>
      <w:r w:rsidR="00B04667">
        <w:rPr>
          <w:rFonts w:ascii="Calibri" w:eastAsia="宋体" w:hAnsi="Calibri" w:cs="Times New Roman" w:hint="eastAsia"/>
          <w:szCs w:val="21"/>
        </w:rPr>
        <w:t>厂商</w:t>
      </w:r>
      <w:r w:rsidR="008F1108" w:rsidRPr="004274D8">
        <w:rPr>
          <w:rFonts w:ascii="Calibri" w:eastAsia="宋体" w:hAnsi="Calibri" w:cs="Times New Roman" w:hint="eastAsia"/>
          <w:szCs w:val="21"/>
        </w:rPr>
        <w:t>出口持续表现良好</w:t>
      </w:r>
      <w:r w:rsidR="008F1108">
        <w:rPr>
          <w:rFonts w:ascii="Calibri" w:eastAsia="宋体" w:hAnsi="Calibri" w:cs="Times New Roman" w:hint="eastAsia"/>
          <w:szCs w:val="21"/>
        </w:rPr>
        <w:t>，也拉动</w:t>
      </w:r>
      <w:r w:rsidR="00B04667">
        <w:rPr>
          <w:rFonts w:ascii="Calibri" w:eastAsia="宋体" w:hAnsi="Calibri" w:cs="Times New Roman" w:hint="eastAsia"/>
          <w:szCs w:val="21"/>
        </w:rPr>
        <w:t>厂商</w:t>
      </w:r>
      <w:r w:rsidR="008F1108">
        <w:rPr>
          <w:rFonts w:ascii="Calibri" w:eastAsia="宋体" w:hAnsi="Calibri" w:cs="Times New Roman" w:hint="eastAsia"/>
          <w:szCs w:val="21"/>
        </w:rPr>
        <w:t>销量提升。</w:t>
      </w:r>
    </w:p>
    <w:p w14:paraId="0E3930CA" w14:textId="21E255CB" w:rsidR="00B60469" w:rsidRDefault="00B60469" w:rsidP="00B60469">
      <w:pPr>
        <w:ind w:firstLineChars="202" w:firstLine="424"/>
        <w:rPr>
          <w:rFonts w:ascii="Calibri" w:eastAsia="宋体" w:hAnsi="Calibri" w:cs="Times New Roman"/>
          <w:szCs w:val="21"/>
        </w:rPr>
      </w:pPr>
    </w:p>
    <w:p w14:paraId="56EB453C" w14:textId="2CA4F0F5" w:rsidR="0090242E" w:rsidRPr="00B04667" w:rsidRDefault="008F1108" w:rsidP="00B04667">
      <w:pPr>
        <w:pStyle w:val="a7"/>
        <w:numPr>
          <w:ilvl w:val="0"/>
          <w:numId w:val="12"/>
        </w:numPr>
        <w:ind w:firstLineChars="0"/>
        <w:outlineLvl w:val="1"/>
        <w:rPr>
          <w:rFonts w:ascii="黑体" w:eastAsia="黑体" w:hAnsi="黑体" w:cs="Times New Roman"/>
          <w:b/>
          <w:bCs/>
          <w:sz w:val="24"/>
        </w:rPr>
      </w:pPr>
      <w:r w:rsidRPr="008F1108">
        <w:rPr>
          <w:rFonts w:ascii="黑体" w:eastAsia="黑体" w:hAnsi="黑体" w:cs="Times New Roman" w:hint="eastAsia"/>
          <w:b/>
          <w:bCs/>
          <w:sz w:val="24"/>
        </w:rPr>
        <w:t>公安部</w:t>
      </w:r>
      <w:r w:rsidRPr="008F1108">
        <w:rPr>
          <w:rFonts w:ascii="黑体" w:eastAsia="黑体" w:hAnsi="黑体" w:cs="Times New Roman"/>
          <w:b/>
          <w:bCs/>
          <w:sz w:val="24"/>
        </w:rPr>
        <w:t>2021年上牌和驾驶员数据分析</w:t>
      </w:r>
    </w:p>
    <w:p w14:paraId="5E54DE27" w14:textId="78DB689A" w:rsidR="00DA401E" w:rsidRDefault="008F1108" w:rsidP="00DA401E">
      <w:pPr>
        <w:ind w:firstLine="420"/>
        <w:rPr>
          <w:rFonts w:ascii="Calibri" w:eastAsia="宋体" w:hAnsi="Calibri" w:cs="Times New Roman"/>
          <w:szCs w:val="21"/>
        </w:rPr>
      </w:pPr>
      <w:r w:rsidRPr="008F1108">
        <w:rPr>
          <w:rFonts w:ascii="Calibri" w:eastAsia="宋体" w:hAnsi="Calibri" w:cs="Times New Roman" w:hint="eastAsia"/>
          <w:szCs w:val="21"/>
        </w:rPr>
        <w:t>统计，截至</w:t>
      </w:r>
      <w:r w:rsidRPr="008F1108">
        <w:rPr>
          <w:rFonts w:ascii="Calibri" w:eastAsia="宋体" w:hAnsi="Calibri" w:cs="Times New Roman"/>
          <w:szCs w:val="21"/>
        </w:rPr>
        <w:t>2021</w:t>
      </w:r>
      <w:r w:rsidRPr="008F1108">
        <w:rPr>
          <w:rFonts w:ascii="Calibri" w:eastAsia="宋体" w:hAnsi="Calibri" w:cs="Times New Roman"/>
          <w:szCs w:val="21"/>
        </w:rPr>
        <w:t>年全国机动车保有量达</w:t>
      </w:r>
      <w:r w:rsidRPr="008F1108">
        <w:rPr>
          <w:rFonts w:ascii="Calibri" w:eastAsia="宋体" w:hAnsi="Calibri" w:cs="Times New Roman"/>
          <w:szCs w:val="21"/>
        </w:rPr>
        <w:t>3.95</w:t>
      </w:r>
      <w:r w:rsidRPr="008F1108">
        <w:rPr>
          <w:rFonts w:ascii="Calibri" w:eastAsia="宋体" w:hAnsi="Calibri" w:cs="Times New Roman"/>
          <w:szCs w:val="21"/>
        </w:rPr>
        <w:t>亿辆，其中汽车</w:t>
      </w:r>
      <w:r w:rsidRPr="008F1108">
        <w:rPr>
          <w:rFonts w:ascii="Calibri" w:eastAsia="宋体" w:hAnsi="Calibri" w:cs="Times New Roman"/>
          <w:szCs w:val="21"/>
        </w:rPr>
        <w:t>3.02</w:t>
      </w:r>
      <w:r w:rsidRPr="008F1108">
        <w:rPr>
          <w:rFonts w:ascii="Calibri" w:eastAsia="宋体" w:hAnsi="Calibri" w:cs="Times New Roman"/>
          <w:szCs w:val="21"/>
        </w:rPr>
        <w:t>亿辆；机动车驾驶人达</w:t>
      </w:r>
      <w:r w:rsidRPr="008F1108">
        <w:rPr>
          <w:rFonts w:ascii="Calibri" w:eastAsia="宋体" w:hAnsi="Calibri" w:cs="Times New Roman"/>
          <w:szCs w:val="21"/>
        </w:rPr>
        <w:t>4.81</w:t>
      </w:r>
      <w:r w:rsidRPr="008F1108">
        <w:rPr>
          <w:rFonts w:ascii="Calibri" w:eastAsia="宋体" w:hAnsi="Calibri" w:cs="Times New Roman"/>
          <w:szCs w:val="21"/>
        </w:rPr>
        <w:t>亿人，其中汽车驾驶人</w:t>
      </w:r>
      <w:r w:rsidRPr="008F1108">
        <w:rPr>
          <w:rFonts w:ascii="Calibri" w:eastAsia="宋体" w:hAnsi="Calibri" w:cs="Times New Roman"/>
          <w:szCs w:val="21"/>
        </w:rPr>
        <w:t>4.44</w:t>
      </w:r>
      <w:r w:rsidRPr="008F1108">
        <w:rPr>
          <w:rFonts w:ascii="Calibri" w:eastAsia="宋体" w:hAnsi="Calibri" w:cs="Times New Roman"/>
          <w:szCs w:val="21"/>
        </w:rPr>
        <w:t>亿人。</w:t>
      </w:r>
      <w:r w:rsidRPr="008F1108">
        <w:rPr>
          <w:rFonts w:ascii="Calibri" w:eastAsia="宋体" w:hAnsi="Calibri" w:cs="Times New Roman"/>
          <w:szCs w:val="21"/>
        </w:rPr>
        <w:t>2021</w:t>
      </w:r>
      <w:r w:rsidRPr="008F1108">
        <w:rPr>
          <w:rFonts w:ascii="Calibri" w:eastAsia="宋体" w:hAnsi="Calibri" w:cs="Times New Roman"/>
          <w:szCs w:val="21"/>
        </w:rPr>
        <w:t>年全国新注册登记机动车</w:t>
      </w:r>
      <w:r w:rsidRPr="008F1108">
        <w:rPr>
          <w:rFonts w:ascii="Calibri" w:eastAsia="宋体" w:hAnsi="Calibri" w:cs="Times New Roman"/>
          <w:szCs w:val="21"/>
        </w:rPr>
        <w:t>3674</w:t>
      </w:r>
      <w:r w:rsidRPr="008F1108">
        <w:rPr>
          <w:rFonts w:ascii="Calibri" w:eastAsia="宋体" w:hAnsi="Calibri" w:cs="Times New Roman"/>
          <w:szCs w:val="21"/>
        </w:rPr>
        <w:t>万辆，新领证驾驶人</w:t>
      </w:r>
      <w:r w:rsidRPr="008F1108">
        <w:rPr>
          <w:rFonts w:ascii="Calibri" w:eastAsia="宋体" w:hAnsi="Calibri" w:cs="Times New Roman"/>
          <w:szCs w:val="21"/>
        </w:rPr>
        <w:t>2750</w:t>
      </w:r>
      <w:r w:rsidRPr="008F1108">
        <w:rPr>
          <w:rFonts w:ascii="Calibri" w:eastAsia="宋体" w:hAnsi="Calibri" w:cs="Times New Roman"/>
          <w:szCs w:val="21"/>
        </w:rPr>
        <w:t>万人。</w:t>
      </w:r>
      <w:r w:rsidRPr="008F1108">
        <w:rPr>
          <w:rFonts w:ascii="Calibri" w:eastAsia="宋体" w:hAnsi="Calibri" w:cs="Times New Roman"/>
          <w:szCs w:val="21"/>
        </w:rPr>
        <w:t>2021</w:t>
      </w:r>
      <w:r w:rsidRPr="008F1108">
        <w:rPr>
          <w:rFonts w:ascii="Calibri" w:eastAsia="宋体" w:hAnsi="Calibri" w:cs="Times New Roman"/>
          <w:szCs w:val="21"/>
        </w:rPr>
        <w:t>年新能源车表现很强。由于疫情的冲击，摩托车市场强势增长，个性化出行增长迅猛。虽然驾驶员增长不快，但女性驾驶员和老年驾驶员增长迅猛，这是车市增长点，但年轻人少对车市的长期发展带来隐忧，因此车市增长主要靠消费升级，而汽车消费普及遭遇瓶颈。</w:t>
      </w:r>
    </w:p>
    <w:p w14:paraId="015AD96E" w14:textId="19F4C5CC" w:rsidR="00CA2130" w:rsidRDefault="008F1108" w:rsidP="00DA401E">
      <w:pPr>
        <w:ind w:firstLine="420"/>
        <w:rPr>
          <w:rFonts w:ascii="Calibri" w:eastAsia="宋体" w:hAnsi="Calibri" w:cs="Times New Roman"/>
          <w:szCs w:val="21"/>
        </w:rPr>
      </w:pPr>
      <w:r w:rsidRPr="008F1108">
        <w:rPr>
          <w:rFonts w:ascii="Calibri" w:eastAsia="宋体" w:hAnsi="Calibri" w:cs="Times New Roman" w:hint="eastAsia"/>
          <w:szCs w:val="21"/>
        </w:rPr>
        <w:t>面对老龄化和女性用户的增长趋势，依托新能源车的高速发展，推动微型电动车的</w:t>
      </w:r>
      <w:r w:rsidRPr="008F1108">
        <w:rPr>
          <w:rFonts w:ascii="Calibri" w:eastAsia="宋体" w:hAnsi="Calibri" w:cs="Times New Roman"/>
          <w:szCs w:val="21"/>
        </w:rPr>
        <w:t>C5</w:t>
      </w:r>
      <w:r w:rsidRPr="008F1108">
        <w:rPr>
          <w:rFonts w:ascii="Calibri" w:eastAsia="宋体" w:hAnsi="Calibri" w:cs="Times New Roman"/>
          <w:szCs w:val="21"/>
        </w:rPr>
        <w:t>驾照实施，扩大微型电动车驾驶员数量，让车市有更大的人口支撑是当务之急。</w:t>
      </w:r>
    </w:p>
    <w:p w14:paraId="78E3A660" w14:textId="77777777" w:rsidR="0090242E" w:rsidRPr="002009FE" w:rsidRDefault="0090242E" w:rsidP="008F1108">
      <w:pPr>
        <w:ind w:firstLineChars="270" w:firstLine="567"/>
        <w:rPr>
          <w:rFonts w:ascii="Calibri" w:eastAsia="宋体" w:hAnsi="Calibri" w:cs="Times New Roman"/>
          <w:szCs w:val="21"/>
        </w:rPr>
      </w:pPr>
    </w:p>
    <w:p w14:paraId="599BAE0C" w14:textId="4E434F25" w:rsidR="0090242E" w:rsidRPr="00DA401E" w:rsidRDefault="008F1108" w:rsidP="00DA401E">
      <w:pPr>
        <w:pStyle w:val="a7"/>
        <w:numPr>
          <w:ilvl w:val="0"/>
          <w:numId w:val="12"/>
        </w:numPr>
        <w:ind w:firstLineChars="0"/>
        <w:outlineLvl w:val="1"/>
        <w:rPr>
          <w:rFonts w:ascii="黑体" w:eastAsia="黑体" w:hAnsi="黑体" w:cs="Times New Roman"/>
          <w:b/>
          <w:bCs/>
          <w:sz w:val="24"/>
        </w:rPr>
      </w:pPr>
      <w:r w:rsidRPr="0090242E">
        <w:rPr>
          <w:rFonts w:ascii="黑体" w:eastAsia="黑体" w:hAnsi="黑体" w:cs="Times New Roman"/>
          <w:b/>
          <w:bCs/>
          <w:sz w:val="24"/>
        </w:rPr>
        <w:t>2021年汽车消费增7.6%、新能源汽车车生产368万渗透率14%</w:t>
      </w:r>
    </w:p>
    <w:p w14:paraId="6E778EC5" w14:textId="4FE45690" w:rsidR="008F1108" w:rsidRPr="008F1108" w:rsidRDefault="00DA401E" w:rsidP="00DA401E">
      <w:pPr>
        <w:ind w:firstLineChars="200" w:firstLine="420"/>
        <w:rPr>
          <w:rFonts w:ascii="Calibri" w:eastAsia="宋体" w:hAnsi="Calibri" w:cs="Times New Roman"/>
          <w:szCs w:val="21"/>
        </w:rPr>
      </w:pPr>
      <w:r>
        <w:rPr>
          <w:rFonts w:ascii="Calibri" w:eastAsia="宋体" w:hAnsi="Calibri" w:cs="Times New Roman" w:hint="eastAsia"/>
          <w:szCs w:val="21"/>
        </w:rPr>
        <w:t>国家统计</w:t>
      </w:r>
      <w:r w:rsidR="008F1108" w:rsidRPr="008F1108">
        <w:rPr>
          <w:rFonts w:ascii="Calibri" w:eastAsia="宋体" w:hAnsi="Calibri" w:cs="Times New Roman" w:hint="eastAsia"/>
          <w:szCs w:val="21"/>
        </w:rPr>
        <w:t>局数据，</w:t>
      </w:r>
      <w:r w:rsidR="0090242E">
        <w:rPr>
          <w:rFonts w:ascii="Calibri" w:eastAsia="宋体" w:hAnsi="Calibri" w:cs="Times New Roman" w:hint="eastAsia"/>
          <w:szCs w:val="21"/>
        </w:rPr>
        <w:t>2</w:t>
      </w:r>
      <w:r w:rsidR="0090242E">
        <w:rPr>
          <w:rFonts w:ascii="Calibri" w:eastAsia="宋体" w:hAnsi="Calibri" w:cs="Times New Roman"/>
          <w:szCs w:val="21"/>
        </w:rPr>
        <w:t>0</w:t>
      </w:r>
      <w:r w:rsidR="008F1108" w:rsidRPr="008F1108">
        <w:rPr>
          <w:rFonts w:ascii="Calibri" w:eastAsia="宋体" w:hAnsi="Calibri" w:cs="Times New Roman" w:hint="eastAsia"/>
          <w:szCs w:val="21"/>
        </w:rPr>
        <w:t>2</w:t>
      </w:r>
      <w:r w:rsidR="008F1108" w:rsidRPr="008F1108">
        <w:rPr>
          <w:rFonts w:ascii="Calibri" w:eastAsia="宋体" w:hAnsi="Calibri" w:cs="Times New Roman"/>
          <w:szCs w:val="21"/>
        </w:rPr>
        <w:t>1</w:t>
      </w:r>
      <w:r w:rsidR="008F1108" w:rsidRPr="008F1108">
        <w:rPr>
          <w:rFonts w:ascii="Calibri" w:eastAsia="宋体" w:hAnsi="Calibri" w:cs="Times New Roman" w:hint="eastAsia"/>
          <w:szCs w:val="21"/>
        </w:rPr>
        <w:t>年</w:t>
      </w:r>
      <w:r w:rsidR="008F1108" w:rsidRPr="008F1108">
        <w:rPr>
          <w:rFonts w:ascii="Calibri" w:eastAsia="宋体" w:hAnsi="Calibri" w:cs="Times New Roman"/>
          <w:szCs w:val="21"/>
        </w:rPr>
        <w:t>1-12</w:t>
      </w:r>
      <w:r w:rsidR="008F1108" w:rsidRPr="008F1108">
        <w:rPr>
          <w:rFonts w:ascii="Calibri" w:eastAsia="宋体" w:hAnsi="Calibri" w:cs="Times New Roman"/>
          <w:szCs w:val="21"/>
        </w:rPr>
        <w:t>月汽车生产</w:t>
      </w:r>
      <w:r w:rsidR="008F1108" w:rsidRPr="008F1108">
        <w:rPr>
          <w:rFonts w:ascii="Calibri" w:eastAsia="宋体" w:hAnsi="Calibri" w:cs="Times New Roman"/>
          <w:szCs w:val="21"/>
        </w:rPr>
        <w:t>2653</w:t>
      </w:r>
      <w:r w:rsidR="00EA4B7F">
        <w:rPr>
          <w:rFonts w:ascii="Calibri" w:eastAsia="宋体" w:hAnsi="Calibri" w:cs="Times New Roman"/>
          <w:szCs w:val="21"/>
        </w:rPr>
        <w:t>万辆</w:t>
      </w:r>
      <w:r w:rsidR="008F1108" w:rsidRPr="008F1108">
        <w:rPr>
          <w:rFonts w:ascii="Calibri" w:eastAsia="宋体" w:hAnsi="Calibri" w:cs="Times New Roman"/>
          <w:szCs w:val="21"/>
        </w:rPr>
        <w:t>，产量同比增长</w:t>
      </w:r>
      <w:r w:rsidR="008F1108" w:rsidRPr="008F1108">
        <w:rPr>
          <w:rFonts w:ascii="Calibri" w:eastAsia="宋体" w:hAnsi="Calibri" w:cs="Times New Roman"/>
          <w:szCs w:val="21"/>
        </w:rPr>
        <w:t>5%</w:t>
      </w:r>
      <w:r w:rsidR="008F1108" w:rsidRPr="008F1108">
        <w:rPr>
          <w:rFonts w:ascii="Calibri" w:eastAsia="宋体" w:hAnsi="Calibri" w:cs="Times New Roman"/>
          <w:szCs w:val="21"/>
        </w:rPr>
        <w:t>，新能源</w:t>
      </w:r>
      <w:r>
        <w:rPr>
          <w:rFonts w:ascii="Calibri" w:eastAsia="宋体" w:hAnsi="Calibri" w:cs="Times New Roman" w:hint="eastAsia"/>
          <w:szCs w:val="21"/>
        </w:rPr>
        <w:t>汽车</w:t>
      </w:r>
      <w:r w:rsidR="008F1108" w:rsidRPr="008F1108">
        <w:rPr>
          <w:rFonts w:ascii="Calibri" w:eastAsia="宋体" w:hAnsi="Calibri" w:cs="Times New Roman"/>
          <w:szCs w:val="21"/>
        </w:rPr>
        <w:t>生产</w:t>
      </w:r>
      <w:r w:rsidR="008F1108" w:rsidRPr="008F1108">
        <w:rPr>
          <w:rFonts w:ascii="Calibri" w:eastAsia="宋体" w:hAnsi="Calibri" w:cs="Times New Roman"/>
          <w:szCs w:val="21"/>
        </w:rPr>
        <w:t>368</w:t>
      </w:r>
      <w:r w:rsidR="008F1108" w:rsidRPr="008F1108">
        <w:rPr>
          <w:rFonts w:ascii="Calibri" w:eastAsia="宋体" w:hAnsi="Calibri" w:cs="Times New Roman"/>
          <w:szCs w:val="21"/>
        </w:rPr>
        <w:t>万，增长</w:t>
      </w:r>
      <w:r w:rsidR="008F1108" w:rsidRPr="008F1108">
        <w:rPr>
          <w:rFonts w:ascii="Calibri" w:eastAsia="宋体" w:hAnsi="Calibri" w:cs="Times New Roman"/>
          <w:szCs w:val="21"/>
        </w:rPr>
        <w:t>146%</w:t>
      </w:r>
      <w:r w:rsidR="008F1108" w:rsidRPr="008F1108">
        <w:rPr>
          <w:rFonts w:ascii="Calibri" w:eastAsia="宋体" w:hAnsi="Calibri" w:cs="Times New Roman"/>
          <w:szCs w:val="21"/>
        </w:rPr>
        <w:t>。新能源生产渗透率</w:t>
      </w:r>
      <w:r w:rsidR="008F1108" w:rsidRPr="008F1108">
        <w:rPr>
          <w:rFonts w:ascii="Calibri" w:eastAsia="宋体" w:hAnsi="Calibri" w:cs="Times New Roman"/>
          <w:szCs w:val="21"/>
        </w:rPr>
        <w:t>13.9%</w:t>
      </w:r>
      <w:r w:rsidR="008F1108" w:rsidRPr="008F1108">
        <w:rPr>
          <w:rFonts w:ascii="Calibri" w:eastAsia="宋体" w:hAnsi="Calibri" w:cs="Times New Roman"/>
          <w:szCs w:val="21"/>
        </w:rPr>
        <w:t>是很高的增长。</w:t>
      </w:r>
    </w:p>
    <w:p w14:paraId="195E88EE" w14:textId="7B6023EF" w:rsidR="00CA2130" w:rsidRDefault="008F1108" w:rsidP="008F1108">
      <w:pPr>
        <w:ind w:firstLineChars="270" w:firstLine="567"/>
        <w:rPr>
          <w:rFonts w:ascii="Calibri" w:eastAsia="宋体" w:hAnsi="Calibri" w:cs="Times New Roman"/>
          <w:szCs w:val="21"/>
        </w:rPr>
      </w:pPr>
      <w:r w:rsidRPr="008F1108">
        <w:rPr>
          <w:rFonts w:ascii="Calibri" w:eastAsia="宋体" w:hAnsi="Calibri" w:cs="Times New Roman"/>
          <w:szCs w:val="21"/>
        </w:rPr>
        <w:t>2021</w:t>
      </w:r>
      <w:r w:rsidRPr="008F1108">
        <w:rPr>
          <w:rFonts w:ascii="Calibri" w:eastAsia="宋体" w:hAnsi="Calibri" w:cs="Times New Roman"/>
          <w:szCs w:val="21"/>
        </w:rPr>
        <w:t>年</w:t>
      </w:r>
      <w:r w:rsidRPr="008F1108">
        <w:rPr>
          <w:rFonts w:ascii="Calibri" w:eastAsia="宋体" w:hAnsi="Calibri" w:cs="Times New Roman"/>
          <w:szCs w:val="21"/>
        </w:rPr>
        <w:t>12</w:t>
      </w:r>
      <w:r w:rsidRPr="008F1108">
        <w:rPr>
          <w:rFonts w:ascii="Calibri" w:eastAsia="宋体" w:hAnsi="Calibri" w:cs="Times New Roman"/>
          <w:szCs w:val="21"/>
        </w:rPr>
        <w:t>月的汽车增加值增长</w:t>
      </w:r>
      <w:r w:rsidRPr="008F1108">
        <w:rPr>
          <w:rFonts w:ascii="Calibri" w:eastAsia="宋体" w:hAnsi="Calibri" w:cs="Times New Roman"/>
          <w:szCs w:val="21"/>
        </w:rPr>
        <w:t>2.8%</w:t>
      </w:r>
      <w:r w:rsidRPr="008F1108">
        <w:rPr>
          <w:rFonts w:ascii="Calibri" w:eastAsia="宋体" w:hAnsi="Calibri" w:cs="Times New Roman"/>
          <w:szCs w:val="21"/>
        </w:rPr>
        <w:t>，基数回归偏高，今年增速</w:t>
      </w:r>
      <w:r w:rsidRPr="008F1108">
        <w:rPr>
          <w:rFonts w:ascii="Calibri" w:eastAsia="宋体" w:hAnsi="Calibri" w:cs="Times New Roman"/>
          <w:szCs w:val="21"/>
        </w:rPr>
        <w:t>5.5%%</w:t>
      </w:r>
      <w:r w:rsidRPr="008F1108">
        <w:rPr>
          <w:rFonts w:ascii="Calibri" w:eastAsia="宋体" w:hAnsi="Calibri" w:cs="Times New Roman"/>
          <w:szCs w:val="21"/>
        </w:rPr>
        <w:t>也基本回归正常</w:t>
      </w:r>
      <w:r w:rsidR="0090242E">
        <w:rPr>
          <w:rFonts w:ascii="Calibri" w:eastAsia="宋体" w:hAnsi="Calibri" w:cs="Times New Roman" w:hint="eastAsia"/>
          <w:szCs w:val="21"/>
        </w:rPr>
        <w:t>。</w:t>
      </w:r>
      <w:r w:rsidRPr="008F1108">
        <w:rPr>
          <w:rFonts w:ascii="Calibri" w:eastAsia="宋体" w:hAnsi="Calibri" w:cs="Times New Roman"/>
          <w:szCs w:val="21"/>
        </w:rPr>
        <w:t>12</w:t>
      </w:r>
      <w:r w:rsidRPr="008F1108">
        <w:rPr>
          <w:rFonts w:ascii="Calibri" w:eastAsia="宋体" w:hAnsi="Calibri" w:cs="Times New Roman"/>
          <w:szCs w:val="21"/>
        </w:rPr>
        <w:t>月汽车消费品零售总额同比下降</w:t>
      </w:r>
      <w:r w:rsidRPr="008F1108">
        <w:rPr>
          <w:rFonts w:ascii="Calibri" w:eastAsia="宋体" w:hAnsi="Calibri" w:cs="Times New Roman"/>
          <w:szCs w:val="21"/>
        </w:rPr>
        <w:t>7.4%</w:t>
      </w:r>
      <w:r w:rsidRPr="008F1108">
        <w:rPr>
          <w:rFonts w:ascii="Calibri" w:eastAsia="宋体" w:hAnsi="Calibri" w:cs="Times New Roman"/>
          <w:szCs w:val="21"/>
        </w:rPr>
        <w:t>。缺芯对车市影响较大，</w:t>
      </w:r>
      <w:r w:rsidR="00DA401E">
        <w:rPr>
          <w:rFonts w:ascii="Calibri" w:eastAsia="宋体" w:hAnsi="Calibri" w:cs="Times New Roman" w:hint="eastAsia"/>
          <w:szCs w:val="21"/>
        </w:rPr>
        <w:t>四</w:t>
      </w:r>
      <w:r w:rsidRPr="008F1108">
        <w:rPr>
          <w:rFonts w:ascii="Calibri" w:eastAsia="宋体" w:hAnsi="Calibri" w:cs="Times New Roman"/>
          <w:szCs w:val="21"/>
        </w:rPr>
        <w:t>季度以来效果逐步显现，全年增速</w:t>
      </w:r>
      <w:r w:rsidRPr="008F1108">
        <w:rPr>
          <w:rFonts w:ascii="Calibri" w:eastAsia="宋体" w:hAnsi="Calibri" w:cs="Times New Roman"/>
          <w:szCs w:val="21"/>
        </w:rPr>
        <w:t>7.6%</w:t>
      </w:r>
      <w:r w:rsidRPr="008F1108">
        <w:rPr>
          <w:rFonts w:ascii="Calibri" w:eastAsia="宋体" w:hAnsi="Calibri" w:cs="Times New Roman"/>
          <w:szCs w:val="21"/>
        </w:rPr>
        <w:t>。乘联会数据显示，</w:t>
      </w:r>
      <w:r w:rsidRPr="008F1108">
        <w:rPr>
          <w:rFonts w:ascii="Calibri" w:eastAsia="宋体" w:hAnsi="Calibri" w:cs="Times New Roman"/>
          <w:szCs w:val="21"/>
        </w:rPr>
        <w:t>8-12</w:t>
      </w:r>
      <w:r w:rsidRPr="008F1108">
        <w:rPr>
          <w:rFonts w:ascii="Calibri" w:eastAsia="宋体" w:hAnsi="Calibri" w:cs="Times New Roman"/>
          <w:szCs w:val="21"/>
        </w:rPr>
        <w:t>月份乘用车产销走势</w:t>
      </w:r>
      <w:r w:rsidR="00DA401E">
        <w:rPr>
          <w:rFonts w:ascii="Calibri" w:eastAsia="宋体" w:hAnsi="Calibri" w:cs="Times New Roman" w:hint="eastAsia"/>
          <w:szCs w:val="21"/>
        </w:rPr>
        <w:t>批发</w:t>
      </w:r>
      <w:r w:rsidRPr="008F1108">
        <w:rPr>
          <w:rFonts w:ascii="Calibri" w:eastAsia="宋体" w:hAnsi="Calibri" w:cs="Times New Roman"/>
          <w:szCs w:val="21"/>
        </w:rPr>
        <w:t>明显改善，尤其是环比表现较好。</w:t>
      </w:r>
    </w:p>
    <w:p w14:paraId="13F700EE" w14:textId="77777777" w:rsidR="008F1108" w:rsidRPr="008F1108" w:rsidRDefault="008F1108" w:rsidP="008F1108">
      <w:pPr>
        <w:ind w:firstLineChars="270" w:firstLine="567"/>
        <w:rPr>
          <w:rFonts w:ascii="Calibri" w:eastAsia="宋体" w:hAnsi="Calibri" w:cs="Times New Roman"/>
          <w:szCs w:val="21"/>
        </w:rPr>
      </w:pPr>
    </w:p>
    <w:p w14:paraId="357ADDE3" w14:textId="6CF89182" w:rsidR="0090242E" w:rsidRPr="00775A07" w:rsidRDefault="008F1108" w:rsidP="00775A07">
      <w:pPr>
        <w:pStyle w:val="a7"/>
        <w:numPr>
          <w:ilvl w:val="0"/>
          <w:numId w:val="12"/>
        </w:numPr>
        <w:ind w:firstLineChars="0"/>
        <w:outlineLvl w:val="1"/>
        <w:rPr>
          <w:rFonts w:ascii="黑体" w:eastAsia="黑体" w:hAnsi="黑体" w:cs="Times New Roman"/>
          <w:b/>
          <w:bCs/>
          <w:sz w:val="24"/>
        </w:rPr>
      </w:pPr>
      <w:r w:rsidRPr="0090242E">
        <w:rPr>
          <w:rFonts w:ascii="黑体" w:eastAsia="黑体" w:hAnsi="黑体" w:cs="Times New Roman"/>
          <w:b/>
          <w:bCs/>
          <w:sz w:val="24"/>
        </w:rPr>
        <w:t>2021年12月皮卡市场</w:t>
      </w:r>
      <w:r w:rsidRPr="0090242E">
        <w:rPr>
          <w:rFonts w:ascii="黑体" w:eastAsia="黑体" w:hAnsi="黑体" w:cs="Times New Roman" w:hint="eastAsia"/>
          <w:b/>
          <w:bCs/>
          <w:sz w:val="24"/>
        </w:rPr>
        <w:t>强势增长</w:t>
      </w:r>
    </w:p>
    <w:p w14:paraId="0C24E16B" w14:textId="77777777" w:rsidR="00775A07" w:rsidRDefault="008F1108" w:rsidP="00775A07">
      <w:pPr>
        <w:ind w:firstLineChars="200" w:firstLine="420"/>
        <w:rPr>
          <w:rFonts w:ascii="Calibri" w:eastAsia="宋体" w:hAnsi="Calibri" w:cs="Times New Roman"/>
          <w:szCs w:val="21"/>
        </w:rPr>
      </w:pPr>
      <w:r w:rsidRPr="008F1108">
        <w:rPr>
          <w:rFonts w:ascii="Calibri" w:eastAsia="宋体" w:hAnsi="Calibri" w:cs="Times New Roman" w:hint="eastAsia"/>
          <w:szCs w:val="21"/>
        </w:rPr>
        <w:t>根据乘联会数据，</w:t>
      </w:r>
      <w:r w:rsidRPr="008F1108">
        <w:rPr>
          <w:rFonts w:ascii="Calibri" w:eastAsia="宋体" w:hAnsi="Calibri" w:cs="Times New Roman"/>
          <w:szCs w:val="21"/>
        </w:rPr>
        <w:t>2021</w:t>
      </w:r>
      <w:r w:rsidRPr="008F1108">
        <w:rPr>
          <w:rFonts w:ascii="Calibri" w:eastAsia="宋体" w:hAnsi="Calibri" w:cs="Times New Roman"/>
          <w:szCs w:val="21"/>
        </w:rPr>
        <w:t>年</w:t>
      </w:r>
      <w:r w:rsidRPr="008F1108">
        <w:rPr>
          <w:rFonts w:ascii="Calibri" w:eastAsia="宋体" w:hAnsi="Calibri" w:cs="Times New Roman"/>
          <w:szCs w:val="21"/>
        </w:rPr>
        <w:t>12</w:t>
      </w:r>
      <w:r w:rsidRPr="008F1108">
        <w:rPr>
          <w:rFonts w:ascii="Calibri" w:eastAsia="宋体" w:hAnsi="Calibri" w:cs="Times New Roman"/>
          <w:szCs w:val="21"/>
        </w:rPr>
        <w:t>月份皮卡市场销售</w:t>
      </w:r>
      <w:r w:rsidRPr="008F1108">
        <w:rPr>
          <w:rFonts w:ascii="Calibri" w:eastAsia="宋体" w:hAnsi="Calibri" w:cs="Times New Roman"/>
          <w:szCs w:val="21"/>
        </w:rPr>
        <w:t>5.9</w:t>
      </w:r>
      <w:r w:rsidR="00EA4B7F">
        <w:rPr>
          <w:rFonts w:ascii="Calibri" w:eastAsia="宋体" w:hAnsi="Calibri" w:cs="Times New Roman"/>
          <w:szCs w:val="21"/>
        </w:rPr>
        <w:t>万辆</w:t>
      </w:r>
      <w:r w:rsidRPr="008F1108">
        <w:rPr>
          <w:rFonts w:ascii="Calibri" w:eastAsia="宋体" w:hAnsi="Calibri" w:cs="Times New Roman"/>
          <w:szCs w:val="21"/>
        </w:rPr>
        <w:t>，同比增长</w:t>
      </w:r>
      <w:r w:rsidRPr="008F1108">
        <w:rPr>
          <w:rFonts w:ascii="Calibri" w:eastAsia="宋体" w:hAnsi="Calibri" w:cs="Times New Roman"/>
          <w:szCs w:val="21"/>
        </w:rPr>
        <w:t>21%</w:t>
      </w:r>
      <w:r w:rsidRPr="008F1108">
        <w:rPr>
          <w:rFonts w:ascii="Calibri" w:eastAsia="宋体" w:hAnsi="Calibri" w:cs="Times New Roman"/>
          <w:szCs w:val="21"/>
        </w:rPr>
        <w:t>，环比增长</w:t>
      </w:r>
      <w:r w:rsidRPr="008F1108">
        <w:rPr>
          <w:rFonts w:ascii="Calibri" w:eastAsia="宋体" w:hAnsi="Calibri" w:cs="Times New Roman"/>
          <w:szCs w:val="21"/>
        </w:rPr>
        <w:t>21%</w:t>
      </w:r>
      <w:r w:rsidRPr="008F1108">
        <w:rPr>
          <w:rFonts w:ascii="Calibri" w:eastAsia="宋体" w:hAnsi="Calibri" w:cs="Times New Roman"/>
          <w:szCs w:val="21"/>
        </w:rPr>
        <w:t>。在国家汽车三包政策、路权政策对皮卡消费的大力支持，</w:t>
      </w:r>
      <w:r w:rsidR="00775A07">
        <w:rPr>
          <w:rFonts w:ascii="Calibri" w:eastAsia="宋体" w:hAnsi="Calibri" w:cs="Times New Roman" w:hint="eastAsia"/>
          <w:szCs w:val="21"/>
        </w:rPr>
        <w:t>及</w:t>
      </w:r>
      <w:r w:rsidRPr="008F1108">
        <w:rPr>
          <w:rFonts w:ascii="Calibri" w:eastAsia="宋体" w:hAnsi="Calibri" w:cs="Times New Roman"/>
          <w:szCs w:val="21"/>
        </w:rPr>
        <w:t>主力车企</w:t>
      </w:r>
      <w:r w:rsidR="0090242E">
        <w:rPr>
          <w:rFonts w:ascii="Calibri" w:eastAsia="宋体" w:hAnsi="Calibri" w:cs="Times New Roman" w:hint="eastAsia"/>
          <w:szCs w:val="21"/>
        </w:rPr>
        <w:t>在</w:t>
      </w:r>
      <w:r w:rsidRPr="008F1108">
        <w:rPr>
          <w:rFonts w:ascii="Calibri" w:eastAsia="宋体" w:hAnsi="Calibri" w:cs="Times New Roman"/>
          <w:szCs w:val="21"/>
        </w:rPr>
        <w:t>乘用化皮卡产品</w:t>
      </w:r>
      <w:r w:rsidR="0090242E">
        <w:rPr>
          <w:rFonts w:ascii="Calibri" w:eastAsia="宋体" w:hAnsi="Calibri" w:cs="Times New Roman" w:hint="eastAsia"/>
          <w:szCs w:val="21"/>
        </w:rPr>
        <w:t>不断丰富、</w:t>
      </w:r>
      <w:r w:rsidRPr="008F1108">
        <w:rPr>
          <w:rFonts w:ascii="Calibri" w:eastAsia="宋体" w:hAnsi="Calibri" w:cs="Times New Roman"/>
          <w:szCs w:val="21"/>
        </w:rPr>
        <w:t>皮卡文化日益活跃的共同推动下，皮卡市场</w:t>
      </w:r>
      <w:r w:rsidRPr="008F1108">
        <w:rPr>
          <w:rFonts w:ascii="Calibri" w:eastAsia="宋体" w:hAnsi="Calibri" w:cs="Times New Roman"/>
          <w:szCs w:val="21"/>
        </w:rPr>
        <w:t>2021</w:t>
      </w:r>
      <w:r w:rsidRPr="008F1108">
        <w:rPr>
          <w:rFonts w:ascii="Calibri" w:eastAsia="宋体" w:hAnsi="Calibri" w:cs="Times New Roman"/>
          <w:szCs w:val="21"/>
        </w:rPr>
        <w:t>年消费持续高增长，最终</w:t>
      </w:r>
      <w:r w:rsidR="00775A07">
        <w:rPr>
          <w:rFonts w:ascii="Calibri" w:eastAsia="宋体" w:hAnsi="Calibri" w:cs="Times New Roman" w:hint="eastAsia"/>
          <w:szCs w:val="21"/>
        </w:rPr>
        <w:t>以</w:t>
      </w:r>
      <w:r w:rsidRPr="008F1108">
        <w:rPr>
          <w:rFonts w:ascii="Calibri" w:eastAsia="宋体" w:hAnsi="Calibri" w:cs="Times New Roman"/>
          <w:szCs w:val="21"/>
        </w:rPr>
        <w:t>2021</w:t>
      </w:r>
      <w:r w:rsidRPr="008F1108">
        <w:rPr>
          <w:rFonts w:ascii="Calibri" w:eastAsia="宋体" w:hAnsi="Calibri" w:cs="Times New Roman"/>
          <w:szCs w:val="21"/>
        </w:rPr>
        <w:t>年</w:t>
      </w:r>
      <w:r w:rsidRPr="008F1108">
        <w:rPr>
          <w:rFonts w:ascii="Calibri" w:eastAsia="宋体" w:hAnsi="Calibri" w:cs="Times New Roman"/>
          <w:szCs w:val="21"/>
        </w:rPr>
        <w:t>12</w:t>
      </w:r>
      <w:r w:rsidRPr="008F1108">
        <w:rPr>
          <w:rFonts w:ascii="Calibri" w:eastAsia="宋体" w:hAnsi="Calibri" w:cs="Times New Roman"/>
          <w:szCs w:val="21"/>
        </w:rPr>
        <w:t>月同比</w:t>
      </w:r>
      <w:r w:rsidRPr="008F1108">
        <w:rPr>
          <w:rFonts w:ascii="Calibri" w:eastAsia="宋体" w:hAnsi="Calibri" w:cs="Times New Roman"/>
          <w:szCs w:val="21"/>
        </w:rPr>
        <w:t>2019</w:t>
      </w:r>
      <w:r w:rsidRPr="008F1108">
        <w:rPr>
          <w:rFonts w:ascii="Calibri" w:eastAsia="宋体" w:hAnsi="Calibri" w:cs="Times New Roman"/>
          <w:szCs w:val="21"/>
        </w:rPr>
        <w:t>年</w:t>
      </w:r>
      <w:r w:rsidR="00775A07">
        <w:rPr>
          <w:rFonts w:ascii="Calibri" w:eastAsia="宋体" w:hAnsi="Calibri" w:cs="Times New Roman" w:hint="eastAsia"/>
          <w:szCs w:val="21"/>
        </w:rPr>
        <w:t>同期</w:t>
      </w:r>
      <w:r w:rsidRPr="008F1108">
        <w:rPr>
          <w:rFonts w:ascii="Calibri" w:eastAsia="宋体" w:hAnsi="Calibri" w:cs="Times New Roman"/>
          <w:szCs w:val="21"/>
        </w:rPr>
        <w:t>实现增长</w:t>
      </w:r>
      <w:r w:rsidRPr="008F1108">
        <w:rPr>
          <w:rFonts w:ascii="Calibri" w:eastAsia="宋体" w:hAnsi="Calibri" w:cs="Times New Roman"/>
          <w:szCs w:val="21"/>
        </w:rPr>
        <w:t>30%</w:t>
      </w:r>
      <w:r w:rsidRPr="008F1108">
        <w:rPr>
          <w:rFonts w:ascii="Calibri" w:eastAsia="宋体" w:hAnsi="Calibri" w:cs="Times New Roman"/>
          <w:szCs w:val="21"/>
        </w:rPr>
        <w:t>的良好业绩，进一步坚定皮卡市场的发展信心。</w:t>
      </w:r>
    </w:p>
    <w:p w14:paraId="1DDFA842" w14:textId="7CA2C9CE" w:rsidR="00CA2130" w:rsidRPr="00775A07" w:rsidRDefault="008F1108" w:rsidP="00775A07">
      <w:pPr>
        <w:ind w:firstLineChars="200" w:firstLine="420"/>
        <w:rPr>
          <w:rFonts w:ascii="Calibri" w:eastAsia="宋体" w:hAnsi="Calibri" w:cs="Times New Roman"/>
          <w:szCs w:val="21"/>
        </w:rPr>
      </w:pPr>
      <w:r w:rsidRPr="008F1108">
        <w:rPr>
          <w:rFonts w:ascii="Calibri" w:eastAsia="宋体" w:hAnsi="Calibri" w:cs="Times New Roman" w:hint="eastAsia"/>
          <w:szCs w:val="21"/>
        </w:rPr>
        <w:t>虽然面对疫情影响的持续不确定压力，加之房地产调整带来的工程类需求低迷，但</w:t>
      </w:r>
      <w:r w:rsidRPr="008F1108">
        <w:rPr>
          <w:rFonts w:ascii="Calibri" w:eastAsia="宋体" w:hAnsi="Calibri" w:cs="Times New Roman"/>
          <w:szCs w:val="21"/>
        </w:rPr>
        <w:t>2021</w:t>
      </w:r>
      <w:r w:rsidRPr="008F1108">
        <w:rPr>
          <w:rFonts w:ascii="Calibri" w:eastAsia="宋体" w:hAnsi="Calibri" w:cs="Times New Roman"/>
          <w:szCs w:val="21"/>
        </w:rPr>
        <w:t>年皮卡市场保持较强活力，主力皮卡</w:t>
      </w:r>
      <w:r w:rsidR="00B04667">
        <w:rPr>
          <w:rFonts w:ascii="Calibri" w:eastAsia="宋体" w:hAnsi="Calibri" w:cs="Times New Roman"/>
          <w:szCs w:val="21"/>
        </w:rPr>
        <w:t>厂商</w:t>
      </w:r>
      <w:r w:rsidRPr="008F1108">
        <w:rPr>
          <w:rFonts w:ascii="Calibri" w:eastAsia="宋体" w:hAnsi="Calibri" w:cs="Times New Roman"/>
          <w:szCs w:val="21"/>
        </w:rPr>
        <w:t>全面较快增长。在</w:t>
      </w:r>
      <w:r w:rsidRPr="008F1108">
        <w:rPr>
          <w:rFonts w:ascii="Calibri" w:eastAsia="宋体" w:hAnsi="Calibri" w:cs="Times New Roman"/>
          <w:szCs w:val="21"/>
        </w:rPr>
        <w:t>2020</w:t>
      </w:r>
      <w:r w:rsidRPr="008F1108">
        <w:rPr>
          <w:rFonts w:ascii="Calibri" w:eastAsia="宋体" w:hAnsi="Calibri" w:cs="Times New Roman"/>
          <w:szCs w:val="21"/>
        </w:rPr>
        <w:t>年长城皮卡爆发增长后，</w:t>
      </w:r>
      <w:r w:rsidRPr="008F1108">
        <w:rPr>
          <w:rFonts w:ascii="Calibri" w:eastAsia="宋体" w:hAnsi="Calibri" w:cs="Times New Roman"/>
          <w:szCs w:val="21"/>
        </w:rPr>
        <w:t>2021</w:t>
      </w:r>
      <w:r w:rsidRPr="008F1108">
        <w:rPr>
          <w:rFonts w:ascii="Calibri" w:eastAsia="宋体" w:hAnsi="Calibri" w:cs="Times New Roman"/>
          <w:szCs w:val="21"/>
        </w:rPr>
        <w:t>年长城皮卡继续保持增长，达到</w:t>
      </w:r>
      <w:r w:rsidRPr="008F1108">
        <w:rPr>
          <w:rFonts w:ascii="Calibri" w:eastAsia="宋体" w:hAnsi="Calibri" w:cs="Times New Roman"/>
          <w:szCs w:val="21"/>
        </w:rPr>
        <w:t>23.3</w:t>
      </w:r>
      <w:r w:rsidR="00EA4B7F">
        <w:rPr>
          <w:rFonts w:ascii="Calibri" w:eastAsia="宋体" w:hAnsi="Calibri" w:cs="Times New Roman"/>
          <w:szCs w:val="21"/>
        </w:rPr>
        <w:t>万辆</w:t>
      </w:r>
      <w:r w:rsidRPr="008F1108">
        <w:rPr>
          <w:rFonts w:ascii="Calibri" w:eastAsia="宋体" w:hAnsi="Calibri" w:cs="Times New Roman"/>
          <w:szCs w:val="21"/>
        </w:rPr>
        <w:t>的辉煌业绩。郑州日产和江西五十铃的皮卡依托超强的品质实现</w:t>
      </w:r>
      <w:r w:rsidRPr="008F1108">
        <w:rPr>
          <w:rFonts w:ascii="Calibri" w:eastAsia="宋体" w:hAnsi="Calibri" w:cs="Times New Roman"/>
          <w:szCs w:val="21"/>
        </w:rPr>
        <w:t>10%</w:t>
      </w:r>
      <w:r w:rsidRPr="008F1108">
        <w:rPr>
          <w:rFonts w:ascii="Calibri" w:eastAsia="宋体" w:hAnsi="Calibri" w:cs="Times New Roman"/>
          <w:szCs w:val="21"/>
        </w:rPr>
        <w:t>以上的高增长。</w:t>
      </w:r>
    </w:p>
    <w:p w14:paraId="2846B110" w14:textId="77777777" w:rsidR="00CA2130" w:rsidRDefault="00CA2130" w:rsidP="00CA2130">
      <w:pPr>
        <w:rPr>
          <w:rFonts w:asciiTheme="minorEastAsia" w:hAnsiTheme="minorEastAsia" w:cs="黑体"/>
          <w:bCs/>
          <w:szCs w:val="21"/>
        </w:rPr>
      </w:pPr>
    </w:p>
    <w:p w14:paraId="36E4230E" w14:textId="77777777" w:rsidR="00CA2130" w:rsidRPr="0090242E" w:rsidRDefault="00CA2130" w:rsidP="00CA2130">
      <w:pPr>
        <w:outlineLvl w:val="0"/>
        <w:rPr>
          <w:b/>
          <w:sz w:val="30"/>
          <w:szCs w:val="30"/>
        </w:rPr>
      </w:pPr>
      <w:r w:rsidRPr="0090242E">
        <w:rPr>
          <w:rFonts w:hint="eastAsia"/>
          <w:b/>
          <w:sz w:val="30"/>
          <w:szCs w:val="30"/>
        </w:rPr>
        <w:t>二、</w:t>
      </w:r>
      <w:r w:rsidRPr="0090242E">
        <w:rPr>
          <w:rFonts w:cs="宋体" w:hint="eastAsia"/>
          <w:b/>
          <w:bCs/>
          <w:sz w:val="30"/>
          <w:szCs w:val="30"/>
        </w:rPr>
        <w:t>本周上市新车</w:t>
      </w:r>
    </w:p>
    <w:p w14:paraId="5F7D8672" w14:textId="77777777" w:rsidR="00D0778A" w:rsidRPr="0090242E" w:rsidRDefault="00D0778A" w:rsidP="00CA2130">
      <w:pPr>
        <w:pStyle w:val="a7"/>
        <w:numPr>
          <w:ilvl w:val="0"/>
          <w:numId w:val="4"/>
        </w:numPr>
        <w:ind w:firstLineChars="0"/>
        <w:outlineLvl w:val="1"/>
        <w:rPr>
          <w:b/>
          <w:sz w:val="24"/>
        </w:rPr>
      </w:pPr>
      <w:r w:rsidRPr="0090242E">
        <w:rPr>
          <w:b/>
          <w:sz w:val="24"/>
        </w:rPr>
        <w:t>广汽丰田威飒</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0778A" w:rsidRPr="00E80D34" w14:paraId="69CCC113" w14:textId="77777777" w:rsidTr="002151F7">
        <w:trPr>
          <w:tblCellSpacing w:w="15" w:type="dxa"/>
        </w:trPr>
        <w:tc>
          <w:tcPr>
            <w:tcW w:w="0" w:type="auto"/>
            <w:tcBorders>
              <w:top w:val="nil"/>
              <w:left w:val="nil"/>
              <w:bottom w:val="nil"/>
              <w:right w:val="nil"/>
            </w:tcBorders>
            <w:hideMark/>
          </w:tcPr>
          <w:p w14:paraId="6D9B9B87" w14:textId="77777777" w:rsidR="00D0778A" w:rsidRPr="00E80D34" w:rsidRDefault="00D0778A" w:rsidP="002151F7">
            <w:pPr>
              <w:widowControl/>
              <w:jc w:val="left"/>
              <w:rPr>
                <w:rFonts w:ascii="宋体" w:eastAsia="宋体" w:hAnsi="宋体" w:cs="宋体"/>
                <w:kern w:val="0"/>
                <w:sz w:val="24"/>
              </w:rPr>
            </w:pPr>
          </w:p>
        </w:tc>
        <w:tc>
          <w:tcPr>
            <w:tcW w:w="0" w:type="auto"/>
            <w:tcBorders>
              <w:top w:val="nil"/>
              <w:left w:val="nil"/>
              <w:bottom w:val="nil"/>
              <w:right w:val="nil"/>
            </w:tcBorders>
            <w:hideMark/>
          </w:tcPr>
          <w:p w14:paraId="05AA7B43" w14:textId="77777777" w:rsidR="00D0778A" w:rsidRPr="00E80D34" w:rsidRDefault="00D0778A" w:rsidP="002151F7">
            <w:pPr>
              <w:widowControl/>
              <w:jc w:val="left"/>
              <w:rPr>
                <w:rFonts w:ascii="微软雅黑" w:eastAsia="微软雅黑" w:hAnsi="微软雅黑" w:cs="宋体"/>
                <w:color w:val="000000"/>
                <w:kern w:val="0"/>
                <w:sz w:val="27"/>
                <w:szCs w:val="27"/>
              </w:rPr>
            </w:pPr>
            <w:r w:rsidRPr="00E80D34">
              <w:rPr>
                <w:rFonts w:ascii="微软雅黑" w:eastAsia="微软雅黑" w:hAnsi="微软雅黑" w:cs="宋体"/>
                <w:noProof/>
                <w:color w:val="000000"/>
                <w:kern w:val="0"/>
                <w:sz w:val="27"/>
                <w:szCs w:val="27"/>
              </w:rPr>
              <w:drawing>
                <wp:inline distT="0" distB="0" distL="0" distR="0" wp14:anchorId="67300C25" wp14:editId="40D153F2">
                  <wp:extent cx="1800000" cy="968824"/>
                  <wp:effectExtent l="0" t="0" r="0" b="3175"/>
                  <wp:docPr id="19" name="图片 19" descr="http://58.246.65.10:8231/UploadFile/202201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111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68824"/>
                          </a:xfrm>
                          <a:prstGeom prst="rect">
                            <a:avLst/>
                          </a:prstGeom>
                          <a:noFill/>
                          <a:ln>
                            <a:noFill/>
                          </a:ln>
                        </pic:spPr>
                      </pic:pic>
                    </a:graphicData>
                  </a:graphic>
                </wp:inline>
              </w:drawing>
            </w:r>
          </w:p>
        </w:tc>
        <w:tc>
          <w:tcPr>
            <w:tcW w:w="0" w:type="auto"/>
            <w:tcBorders>
              <w:top w:val="nil"/>
              <w:left w:val="nil"/>
              <w:bottom w:val="nil"/>
              <w:right w:val="nil"/>
            </w:tcBorders>
            <w:hideMark/>
          </w:tcPr>
          <w:p w14:paraId="78477E7F" w14:textId="77777777" w:rsidR="00D0778A" w:rsidRPr="00E80D34" w:rsidRDefault="00D0778A" w:rsidP="002151F7">
            <w:pPr>
              <w:widowControl/>
              <w:jc w:val="left"/>
              <w:rPr>
                <w:rFonts w:ascii="微软雅黑" w:eastAsia="微软雅黑" w:hAnsi="微软雅黑" w:cs="宋体"/>
                <w:color w:val="000000"/>
                <w:kern w:val="0"/>
                <w:sz w:val="27"/>
                <w:szCs w:val="27"/>
              </w:rPr>
            </w:pPr>
          </w:p>
        </w:tc>
      </w:tr>
    </w:tbl>
    <w:p w14:paraId="6F17E851" w14:textId="77777777" w:rsidR="00D0778A" w:rsidRDefault="00D0778A" w:rsidP="00CA2130">
      <w:r>
        <w:t>1月10日，广汽丰田威飒上市，新车共推6款，售价区间为21.68万-30.38万元。</w:t>
      </w:r>
    </w:p>
    <w:p w14:paraId="03385348" w14:textId="77777777" w:rsidR="00D0778A" w:rsidRDefault="00D0778A" w:rsidP="00CA2130">
      <w:r>
        <w:rPr>
          <w:rFonts w:hint="eastAsia"/>
        </w:rPr>
        <w:t>外观方面，新车采用双</w:t>
      </w:r>
      <w:r>
        <w:t>L形LED日行灯、贯穿式LED尾灯组。</w:t>
      </w:r>
    </w:p>
    <w:p w14:paraId="22DF9B58" w14:textId="77777777" w:rsidR="00D0778A" w:rsidRDefault="00D0778A" w:rsidP="00CA2130">
      <w:r>
        <w:rPr>
          <w:rFonts w:hint="eastAsia"/>
        </w:rPr>
        <w:t>内饰方面，新车采用</w:t>
      </w:r>
      <w:r>
        <w:t>12.3英寸悬浮式中控屏、全液晶仪表。</w:t>
      </w:r>
    </w:p>
    <w:p w14:paraId="77573C8F" w14:textId="77777777" w:rsidR="00D0778A" w:rsidRDefault="00D0778A" w:rsidP="00CA2130">
      <w:r>
        <w:rPr>
          <w:rFonts w:hint="eastAsia"/>
        </w:rPr>
        <w:t>配置方面，新车配备人脸识别、无线充电、流媒体内后视镜、丰田智行安全系统等。</w:t>
      </w:r>
    </w:p>
    <w:p w14:paraId="50506F49" w14:textId="145714C7" w:rsidR="0090242E" w:rsidRPr="00865354" w:rsidRDefault="00D0778A" w:rsidP="00CA2130">
      <w:r>
        <w:rPr>
          <w:rFonts w:hint="eastAsia"/>
        </w:rPr>
        <w:t>动力方面，新车搭载</w:t>
      </w:r>
      <w:r>
        <w:t>2.0L，2.5L发动机，匹配CVT，E-CVT变速箱。</w:t>
      </w:r>
    </w:p>
    <w:p w14:paraId="31EF8FA3" w14:textId="77777777" w:rsidR="00D0778A" w:rsidRPr="0090242E" w:rsidRDefault="00D0778A" w:rsidP="00CA2130">
      <w:pPr>
        <w:pStyle w:val="a7"/>
        <w:numPr>
          <w:ilvl w:val="0"/>
          <w:numId w:val="4"/>
        </w:numPr>
        <w:ind w:firstLineChars="0"/>
        <w:outlineLvl w:val="1"/>
        <w:rPr>
          <w:b/>
          <w:sz w:val="24"/>
        </w:rPr>
      </w:pPr>
      <w:r w:rsidRPr="0090242E">
        <w:rPr>
          <w:b/>
          <w:sz w:val="24"/>
        </w:rPr>
        <w:t>荣威i6MAXEV特别版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0778A" w:rsidRPr="00E80D34" w14:paraId="3D67BF33" w14:textId="77777777" w:rsidTr="002151F7">
        <w:trPr>
          <w:tblCellSpacing w:w="15" w:type="dxa"/>
        </w:trPr>
        <w:tc>
          <w:tcPr>
            <w:tcW w:w="0" w:type="auto"/>
            <w:tcBorders>
              <w:top w:val="nil"/>
              <w:left w:val="nil"/>
              <w:bottom w:val="nil"/>
              <w:right w:val="nil"/>
            </w:tcBorders>
            <w:hideMark/>
          </w:tcPr>
          <w:p w14:paraId="4E661CFB" w14:textId="77777777" w:rsidR="00D0778A" w:rsidRPr="00E80D34" w:rsidRDefault="00D0778A" w:rsidP="002151F7">
            <w:pPr>
              <w:widowControl/>
              <w:jc w:val="left"/>
              <w:rPr>
                <w:rFonts w:ascii="宋体" w:eastAsia="宋体" w:hAnsi="宋体" w:cs="宋体"/>
                <w:kern w:val="0"/>
                <w:sz w:val="24"/>
              </w:rPr>
            </w:pPr>
          </w:p>
        </w:tc>
        <w:tc>
          <w:tcPr>
            <w:tcW w:w="0" w:type="auto"/>
            <w:tcBorders>
              <w:top w:val="nil"/>
              <w:left w:val="nil"/>
              <w:bottom w:val="nil"/>
              <w:right w:val="nil"/>
            </w:tcBorders>
            <w:hideMark/>
          </w:tcPr>
          <w:p w14:paraId="3E72AEF0" w14:textId="77777777" w:rsidR="00D0778A" w:rsidRPr="00E80D34" w:rsidRDefault="00D0778A" w:rsidP="002151F7">
            <w:pPr>
              <w:widowControl/>
              <w:jc w:val="left"/>
              <w:rPr>
                <w:rFonts w:ascii="微软雅黑" w:eastAsia="微软雅黑" w:hAnsi="微软雅黑" w:cs="宋体"/>
                <w:color w:val="000000"/>
                <w:kern w:val="0"/>
                <w:sz w:val="27"/>
                <w:szCs w:val="27"/>
              </w:rPr>
            </w:pPr>
            <w:r w:rsidRPr="00E80D34">
              <w:rPr>
                <w:rFonts w:ascii="微软雅黑" w:eastAsia="微软雅黑" w:hAnsi="微软雅黑" w:cs="宋体"/>
                <w:noProof/>
                <w:color w:val="000000"/>
                <w:kern w:val="0"/>
                <w:sz w:val="27"/>
                <w:szCs w:val="27"/>
              </w:rPr>
              <w:drawing>
                <wp:inline distT="0" distB="0" distL="0" distR="0" wp14:anchorId="2225219C" wp14:editId="44C02F05">
                  <wp:extent cx="1800000" cy="921774"/>
                  <wp:effectExtent l="0" t="0" r="0" b="0"/>
                  <wp:docPr id="25" name="图片 25" descr="http://58.246.65.10:8231/UploadFile/2022011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111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21774"/>
                          </a:xfrm>
                          <a:prstGeom prst="rect">
                            <a:avLst/>
                          </a:prstGeom>
                          <a:noFill/>
                          <a:ln>
                            <a:noFill/>
                          </a:ln>
                        </pic:spPr>
                      </pic:pic>
                    </a:graphicData>
                  </a:graphic>
                </wp:inline>
              </w:drawing>
            </w:r>
          </w:p>
        </w:tc>
        <w:tc>
          <w:tcPr>
            <w:tcW w:w="0" w:type="auto"/>
            <w:tcBorders>
              <w:top w:val="nil"/>
              <w:left w:val="nil"/>
              <w:bottom w:val="nil"/>
              <w:right w:val="nil"/>
            </w:tcBorders>
            <w:hideMark/>
          </w:tcPr>
          <w:p w14:paraId="50ADFA4A" w14:textId="77777777" w:rsidR="00D0778A" w:rsidRPr="00E80D34" w:rsidRDefault="00D0778A" w:rsidP="002151F7">
            <w:pPr>
              <w:widowControl/>
              <w:jc w:val="left"/>
              <w:rPr>
                <w:rFonts w:ascii="微软雅黑" w:eastAsia="微软雅黑" w:hAnsi="微软雅黑" w:cs="宋体"/>
                <w:color w:val="000000"/>
                <w:kern w:val="0"/>
                <w:sz w:val="27"/>
                <w:szCs w:val="27"/>
              </w:rPr>
            </w:pPr>
          </w:p>
        </w:tc>
      </w:tr>
    </w:tbl>
    <w:p w14:paraId="501EEAF5" w14:textId="77777777" w:rsidR="00D0778A" w:rsidRDefault="00D0778A" w:rsidP="00CA2130">
      <w:r>
        <w:t>1月10日，荣威i6MAXEV特别版上市，新车补贴后售价为17.98万元，享受国补1.8万元。</w:t>
      </w:r>
    </w:p>
    <w:p w14:paraId="4D289444" w14:textId="77777777" w:rsidR="00D0778A" w:rsidRDefault="00D0778A" w:rsidP="00CA2130">
      <w:r>
        <w:rPr>
          <w:rFonts w:hint="eastAsia"/>
        </w:rPr>
        <w:t>外观方面，新车与现款车型基本保持一致。</w:t>
      </w:r>
    </w:p>
    <w:p w14:paraId="247E2186" w14:textId="6E3428FC" w:rsidR="0090242E" w:rsidRPr="00865354" w:rsidRDefault="00D0778A" w:rsidP="00CA2130">
      <w:r>
        <w:rPr>
          <w:rFonts w:hint="eastAsia"/>
        </w:rPr>
        <w:t>动力方面，新车搭载纯电动机，</w:t>
      </w:r>
      <w:r>
        <w:t>NEDC综合续航里程达502km。</w:t>
      </w:r>
    </w:p>
    <w:p w14:paraId="7162CDAB" w14:textId="77777777" w:rsidR="00D0778A" w:rsidRPr="0090242E" w:rsidRDefault="00D0778A" w:rsidP="00CA2130">
      <w:pPr>
        <w:pStyle w:val="a7"/>
        <w:numPr>
          <w:ilvl w:val="0"/>
          <w:numId w:val="4"/>
        </w:numPr>
        <w:ind w:firstLineChars="0"/>
        <w:outlineLvl w:val="1"/>
        <w:rPr>
          <w:b/>
          <w:sz w:val="24"/>
        </w:rPr>
      </w:pPr>
      <w:r w:rsidRPr="0090242E">
        <w:rPr>
          <w:b/>
          <w:sz w:val="24"/>
        </w:rPr>
        <w:t>思皓QX新车型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0778A" w:rsidRPr="00E80D34" w14:paraId="264E6A51" w14:textId="77777777" w:rsidTr="002151F7">
        <w:trPr>
          <w:tblCellSpacing w:w="15" w:type="dxa"/>
        </w:trPr>
        <w:tc>
          <w:tcPr>
            <w:tcW w:w="0" w:type="auto"/>
            <w:tcBorders>
              <w:top w:val="nil"/>
              <w:left w:val="nil"/>
              <w:bottom w:val="nil"/>
              <w:right w:val="nil"/>
            </w:tcBorders>
            <w:hideMark/>
          </w:tcPr>
          <w:p w14:paraId="7679150D" w14:textId="77777777" w:rsidR="00D0778A" w:rsidRPr="00E80D34" w:rsidRDefault="00D0778A" w:rsidP="002151F7">
            <w:pPr>
              <w:widowControl/>
              <w:jc w:val="left"/>
              <w:rPr>
                <w:rFonts w:ascii="宋体" w:eastAsia="宋体" w:hAnsi="宋体" w:cs="宋体"/>
                <w:kern w:val="0"/>
                <w:sz w:val="24"/>
              </w:rPr>
            </w:pPr>
          </w:p>
        </w:tc>
        <w:tc>
          <w:tcPr>
            <w:tcW w:w="0" w:type="auto"/>
            <w:tcBorders>
              <w:top w:val="nil"/>
              <w:left w:val="nil"/>
              <w:bottom w:val="nil"/>
              <w:right w:val="nil"/>
            </w:tcBorders>
            <w:hideMark/>
          </w:tcPr>
          <w:p w14:paraId="1E297E59" w14:textId="77777777" w:rsidR="00D0778A" w:rsidRPr="00E80D34" w:rsidRDefault="00D0778A" w:rsidP="002151F7">
            <w:pPr>
              <w:widowControl/>
              <w:jc w:val="left"/>
              <w:rPr>
                <w:rFonts w:ascii="微软雅黑" w:eastAsia="微软雅黑" w:hAnsi="微软雅黑" w:cs="宋体"/>
                <w:color w:val="000000"/>
                <w:kern w:val="0"/>
                <w:sz w:val="27"/>
                <w:szCs w:val="27"/>
              </w:rPr>
            </w:pPr>
            <w:r w:rsidRPr="00E80D34">
              <w:rPr>
                <w:rFonts w:ascii="微软雅黑" w:eastAsia="微软雅黑" w:hAnsi="微软雅黑" w:cs="宋体"/>
                <w:noProof/>
                <w:color w:val="000000"/>
                <w:kern w:val="0"/>
                <w:sz w:val="27"/>
                <w:szCs w:val="27"/>
              </w:rPr>
              <w:drawing>
                <wp:inline distT="0" distB="0" distL="0" distR="0" wp14:anchorId="2A590897" wp14:editId="7F22B91D">
                  <wp:extent cx="1800000" cy="909375"/>
                  <wp:effectExtent l="0" t="0" r="0" b="5080"/>
                  <wp:docPr id="7" name="图片 7" descr="http://58.246.65.10:8231/UploadFile/2022011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112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09375"/>
                          </a:xfrm>
                          <a:prstGeom prst="rect">
                            <a:avLst/>
                          </a:prstGeom>
                          <a:noFill/>
                          <a:ln>
                            <a:noFill/>
                          </a:ln>
                        </pic:spPr>
                      </pic:pic>
                    </a:graphicData>
                  </a:graphic>
                </wp:inline>
              </w:drawing>
            </w:r>
          </w:p>
        </w:tc>
        <w:tc>
          <w:tcPr>
            <w:tcW w:w="0" w:type="auto"/>
            <w:tcBorders>
              <w:top w:val="nil"/>
              <w:left w:val="nil"/>
              <w:bottom w:val="nil"/>
              <w:right w:val="nil"/>
            </w:tcBorders>
            <w:hideMark/>
          </w:tcPr>
          <w:p w14:paraId="38E0E217" w14:textId="77777777" w:rsidR="00D0778A" w:rsidRPr="00E80D34" w:rsidRDefault="00D0778A" w:rsidP="002151F7">
            <w:pPr>
              <w:widowControl/>
              <w:jc w:val="left"/>
              <w:rPr>
                <w:rFonts w:ascii="微软雅黑" w:eastAsia="微软雅黑" w:hAnsi="微软雅黑" w:cs="宋体"/>
                <w:color w:val="000000"/>
                <w:kern w:val="0"/>
                <w:sz w:val="27"/>
                <w:szCs w:val="27"/>
              </w:rPr>
            </w:pPr>
          </w:p>
        </w:tc>
      </w:tr>
    </w:tbl>
    <w:p w14:paraId="295176BA" w14:textId="77777777" w:rsidR="00D0778A" w:rsidRDefault="00D0778A" w:rsidP="00CA2130">
      <w:r>
        <w:t>1月11日，思皓QX新车型上市，新车共推2款，售价区间为13.09万-19.69万元。</w:t>
      </w:r>
    </w:p>
    <w:p w14:paraId="3544741E" w14:textId="77777777" w:rsidR="00D0778A" w:rsidRDefault="00D0778A" w:rsidP="00CA2130">
      <w:r>
        <w:rPr>
          <w:rFonts w:hint="eastAsia"/>
        </w:rPr>
        <w:t>外观方面，新车与现款车型基本保持一致。</w:t>
      </w:r>
    </w:p>
    <w:p w14:paraId="1E2785BB" w14:textId="77777777" w:rsidR="00D0778A" w:rsidRDefault="00D0778A" w:rsidP="00CA2130">
      <w:r>
        <w:rPr>
          <w:rFonts w:hint="eastAsia"/>
        </w:rPr>
        <w:t>配置方面，新车配备</w:t>
      </w:r>
      <w:r>
        <w:t>OTA升级、全皮内饰、智能语音交互等。</w:t>
      </w:r>
    </w:p>
    <w:p w14:paraId="1A6576AE" w14:textId="39187DBC" w:rsidR="0090242E" w:rsidRPr="00865354" w:rsidRDefault="00D0778A" w:rsidP="00CA2130">
      <w:r>
        <w:rPr>
          <w:rFonts w:hint="eastAsia"/>
        </w:rPr>
        <w:t>动力方面，新车搭载</w:t>
      </w:r>
      <w:r>
        <w:t>1.5T发动机，匹配6DCT变速箱。</w:t>
      </w:r>
    </w:p>
    <w:p w14:paraId="7DF2EBB2" w14:textId="77777777" w:rsidR="00D0778A" w:rsidRPr="0090242E" w:rsidRDefault="00D0778A" w:rsidP="00CA2130">
      <w:pPr>
        <w:pStyle w:val="a7"/>
        <w:numPr>
          <w:ilvl w:val="0"/>
          <w:numId w:val="4"/>
        </w:numPr>
        <w:ind w:firstLineChars="0"/>
        <w:outlineLvl w:val="1"/>
        <w:rPr>
          <w:b/>
          <w:sz w:val="24"/>
        </w:rPr>
      </w:pPr>
      <w:r w:rsidRPr="0090242E">
        <w:rPr>
          <w:b/>
          <w:sz w:val="24"/>
        </w:rPr>
        <w:t>威兰达新车型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0778A" w:rsidRPr="00E80D34" w14:paraId="5C2881FF" w14:textId="77777777" w:rsidTr="002151F7">
        <w:trPr>
          <w:tblCellSpacing w:w="15" w:type="dxa"/>
        </w:trPr>
        <w:tc>
          <w:tcPr>
            <w:tcW w:w="0" w:type="auto"/>
            <w:tcBorders>
              <w:top w:val="nil"/>
              <w:left w:val="nil"/>
              <w:bottom w:val="nil"/>
              <w:right w:val="nil"/>
            </w:tcBorders>
            <w:hideMark/>
          </w:tcPr>
          <w:p w14:paraId="6B490425" w14:textId="77777777" w:rsidR="00D0778A" w:rsidRPr="00E80D34" w:rsidRDefault="00D0778A" w:rsidP="002151F7">
            <w:pPr>
              <w:widowControl/>
              <w:jc w:val="left"/>
              <w:rPr>
                <w:rFonts w:ascii="宋体" w:eastAsia="宋体" w:hAnsi="宋体" w:cs="宋体"/>
                <w:kern w:val="0"/>
                <w:sz w:val="24"/>
              </w:rPr>
            </w:pPr>
          </w:p>
        </w:tc>
        <w:tc>
          <w:tcPr>
            <w:tcW w:w="0" w:type="auto"/>
            <w:tcBorders>
              <w:top w:val="nil"/>
              <w:left w:val="nil"/>
              <w:bottom w:val="nil"/>
              <w:right w:val="nil"/>
            </w:tcBorders>
            <w:hideMark/>
          </w:tcPr>
          <w:p w14:paraId="6B3102A3" w14:textId="77777777" w:rsidR="00D0778A" w:rsidRPr="00E80D34" w:rsidRDefault="00D0778A" w:rsidP="002151F7">
            <w:pPr>
              <w:widowControl/>
              <w:jc w:val="left"/>
              <w:rPr>
                <w:rFonts w:ascii="微软雅黑" w:eastAsia="微软雅黑" w:hAnsi="微软雅黑" w:cs="宋体"/>
                <w:color w:val="000000"/>
                <w:kern w:val="0"/>
                <w:sz w:val="27"/>
                <w:szCs w:val="27"/>
              </w:rPr>
            </w:pPr>
            <w:r w:rsidRPr="00E80D34">
              <w:rPr>
                <w:rFonts w:ascii="微软雅黑" w:eastAsia="微软雅黑" w:hAnsi="微软雅黑" w:cs="宋体"/>
                <w:noProof/>
                <w:color w:val="000000"/>
                <w:kern w:val="0"/>
                <w:sz w:val="27"/>
                <w:szCs w:val="27"/>
              </w:rPr>
              <w:drawing>
                <wp:inline distT="0" distB="0" distL="0" distR="0" wp14:anchorId="2AB75DB6" wp14:editId="3B6BE2DF">
                  <wp:extent cx="1800000" cy="919780"/>
                  <wp:effectExtent l="0" t="0" r="0" b="0"/>
                  <wp:docPr id="26" name="图片 26" descr="http://58.246.65.10:8231/UploadFile/202201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114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19780"/>
                          </a:xfrm>
                          <a:prstGeom prst="rect">
                            <a:avLst/>
                          </a:prstGeom>
                          <a:noFill/>
                          <a:ln>
                            <a:noFill/>
                          </a:ln>
                        </pic:spPr>
                      </pic:pic>
                    </a:graphicData>
                  </a:graphic>
                </wp:inline>
              </w:drawing>
            </w:r>
          </w:p>
        </w:tc>
        <w:tc>
          <w:tcPr>
            <w:tcW w:w="0" w:type="auto"/>
            <w:tcBorders>
              <w:top w:val="nil"/>
              <w:left w:val="nil"/>
              <w:bottom w:val="nil"/>
              <w:right w:val="nil"/>
            </w:tcBorders>
            <w:hideMark/>
          </w:tcPr>
          <w:p w14:paraId="523F2984" w14:textId="77777777" w:rsidR="00D0778A" w:rsidRPr="00E80D34" w:rsidRDefault="00D0778A" w:rsidP="002151F7">
            <w:pPr>
              <w:widowControl/>
              <w:jc w:val="left"/>
              <w:rPr>
                <w:rFonts w:ascii="微软雅黑" w:eastAsia="微软雅黑" w:hAnsi="微软雅黑" w:cs="宋体"/>
                <w:color w:val="000000"/>
                <w:kern w:val="0"/>
                <w:sz w:val="27"/>
                <w:szCs w:val="27"/>
              </w:rPr>
            </w:pPr>
          </w:p>
        </w:tc>
      </w:tr>
    </w:tbl>
    <w:p w14:paraId="190FF3B3" w14:textId="77777777" w:rsidR="00D0778A" w:rsidRDefault="00D0778A" w:rsidP="00CA2130">
      <w:r>
        <w:t>1月13日，威兰达新车型上市，新车共推4款，售价区间为20.08万-24.38万元。</w:t>
      </w:r>
    </w:p>
    <w:p w14:paraId="1404C843" w14:textId="77777777" w:rsidR="00D0778A" w:rsidRDefault="00D0778A" w:rsidP="00CA2130">
      <w:r>
        <w:rPr>
          <w:rFonts w:hint="eastAsia"/>
        </w:rPr>
        <w:t>外观方面，新车与现款车型基本保持一致。</w:t>
      </w:r>
    </w:p>
    <w:p w14:paraId="16836897" w14:textId="77777777" w:rsidR="00D0778A" w:rsidRDefault="00D0778A" w:rsidP="00CA2130">
      <w:r>
        <w:rPr>
          <w:rFonts w:hint="eastAsia"/>
        </w:rPr>
        <w:t>配置方面，新车配备自动折叠</w:t>
      </w:r>
      <w:r>
        <w:t>/加热外后视镜、全景监控系统等。</w:t>
      </w:r>
    </w:p>
    <w:p w14:paraId="02A02B54" w14:textId="2D9C51C9" w:rsidR="0090242E" w:rsidRPr="00865354" w:rsidRDefault="00D0778A" w:rsidP="00CA2130">
      <w:r>
        <w:rPr>
          <w:rFonts w:hint="eastAsia"/>
        </w:rPr>
        <w:t>动力方面，新车搭载</w:t>
      </w:r>
      <w:r>
        <w:t>2.0L，2.5L发动机，匹配CVT，E-CVT变速箱。</w:t>
      </w:r>
    </w:p>
    <w:p w14:paraId="1F941830" w14:textId="77777777" w:rsidR="00D0778A" w:rsidRPr="0090242E" w:rsidRDefault="00D0778A" w:rsidP="00CA2130">
      <w:pPr>
        <w:pStyle w:val="a7"/>
        <w:numPr>
          <w:ilvl w:val="0"/>
          <w:numId w:val="4"/>
        </w:numPr>
        <w:ind w:firstLineChars="0"/>
        <w:outlineLvl w:val="1"/>
        <w:rPr>
          <w:b/>
          <w:sz w:val="24"/>
        </w:rPr>
      </w:pPr>
      <w:r w:rsidRPr="0090242E">
        <w:rPr>
          <w:b/>
          <w:sz w:val="24"/>
        </w:rPr>
        <w:t>威马EX5-ZPro全能版改款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0778A" w:rsidRPr="00E80D34" w14:paraId="191F82F6" w14:textId="77777777" w:rsidTr="002151F7">
        <w:trPr>
          <w:tblCellSpacing w:w="15" w:type="dxa"/>
        </w:trPr>
        <w:tc>
          <w:tcPr>
            <w:tcW w:w="0" w:type="auto"/>
            <w:tcBorders>
              <w:top w:val="nil"/>
              <w:left w:val="nil"/>
              <w:bottom w:val="nil"/>
              <w:right w:val="nil"/>
            </w:tcBorders>
            <w:hideMark/>
          </w:tcPr>
          <w:p w14:paraId="0F70A5FC" w14:textId="77777777" w:rsidR="00D0778A" w:rsidRPr="00E80D34" w:rsidRDefault="00D0778A" w:rsidP="002151F7">
            <w:pPr>
              <w:widowControl/>
              <w:jc w:val="left"/>
              <w:rPr>
                <w:rFonts w:ascii="宋体" w:eastAsia="宋体" w:hAnsi="宋体" w:cs="宋体"/>
                <w:kern w:val="0"/>
                <w:sz w:val="24"/>
              </w:rPr>
            </w:pPr>
          </w:p>
        </w:tc>
        <w:tc>
          <w:tcPr>
            <w:tcW w:w="0" w:type="auto"/>
            <w:tcBorders>
              <w:top w:val="nil"/>
              <w:left w:val="nil"/>
              <w:bottom w:val="nil"/>
              <w:right w:val="nil"/>
            </w:tcBorders>
            <w:hideMark/>
          </w:tcPr>
          <w:p w14:paraId="6F9C6A88" w14:textId="77777777" w:rsidR="00D0778A" w:rsidRPr="00E80D34" w:rsidRDefault="00D0778A" w:rsidP="002151F7">
            <w:pPr>
              <w:widowControl/>
              <w:jc w:val="left"/>
              <w:rPr>
                <w:rFonts w:ascii="微软雅黑" w:eastAsia="微软雅黑" w:hAnsi="微软雅黑" w:cs="宋体"/>
                <w:color w:val="000000"/>
                <w:kern w:val="0"/>
                <w:sz w:val="27"/>
                <w:szCs w:val="27"/>
              </w:rPr>
            </w:pPr>
            <w:r w:rsidRPr="00E80D34">
              <w:rPr>
                <w:rFonts w:ascii="微软雅黑" w:eastAsia="微软雅黑" w:hAnsi="微软雅黑" w:cs="宋体"/>
                <w:noProof/>
                <w:color w:val="000000"/>
                <w:kern w:val="0"/>
                <w:sz w:val="27"/>
                <w:szCs w:val="27"/>
              </w:rPr>
              <w:drawing>
                <wp:inline distT="0" distB="0" distL="0" distR="0" wp14:anchorId="3A30AE7A" wp14:editId="7CD2AC40">
                  <wp:extent cx="1800000" cy="905028"/>
                  <wp:effectExtent l="0" t="0" r="0" b="0"/>
                  <wp:docPr id="27" name="图片 27" descr="http://58.246.65.10:8231/UploadFile/2022011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111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05028"/>
                          </a:xfrm>
                          <a:prstGeom prst="rect">
                            <a:avLst/>
                          </a:prstGeom>
                          <a:noFill/>
                          <a:ln>
                            <a:noFill/>
                          </a:ln>
                        </pic:spPr>
                      </pic:pic>
                    </a:graphicData>
                  </a:graphic>
                </wp:inline>
              </w:drawing>
            </w:r>
          </w:p>
        </w:tc>
        <w:tc>
          <w:tcPr>
            <w:tcW w:w="0" w:type="auto"/>
            <w:tcBorders>
              <w:top w:val="nil"/>
              <w:left w:val="nil"/>
              <w:bottom w:val="nil"/>
              <w:right w:val="nil"/>
            </w:tcBorders>
            <w:hideMark/>
          </w:tcPr>
          <w:p w14:paraId="5EAFCB84" w14:textId="77777777" w:rsidR="00D0778A" w:rsidRPr="00E80D34" w:rsidRDefault="00D0778A" w:rsidP="002151F7">
            <w:pPr>
              <w:widowControl/>
              <w:jc w:val="left"/>
              <w:rPr>
                <w:rFonts w:ascii="微软雅黑" w:eastAsia="微软雅黑" w:hAnsi="微软雅黑" w:cs="宋体"/>
                <w:color w:val="000000"/>
                <w:kern w:val="0"/>
                <w:sz w:val="27"/>
                <w:szCs w:val="27"/>
              </w:rPr>
            </w:pPr>
          </w:p>
        </w:tc>
      </w:tr>
    </w:tbl>
    <w:p w14:paraId="68EFE271" w14:textId="77777777" w:rsidR="00D0778A" w:rsidRDefault="00D0778A" w:rsidP="00CA2130">
      <w:r>
        <w:t>1月10日，威马EX5-ZPro全能版改款上市，新车补贴后售价为15.18万元。</w:t>
      </w:r>
    </w:p>
    <w:p w14:paraId="55CF0967" w14:textId="77777777" w:rsidR="00D0778A" w:rsidRDefault="00D0778A" w:rsidP="00CA2130">
      <w:r>
        <w:rPr>
          <w:rFonts w:hint="eastAsia"/>
        </w:rPr>
        <w:t>外观方面，新车与老款车型基本保持一致。</w:t>
      </w:r>
    </w:p>
    <w:p w14:paraId="02A89408" w14:textId="77777777" w:rsidR="00D0778A" w:rsidRDefault="00D0778A" w:rsidP="00CA2130">
      <w:r>
        <w:rPr>
          <w:rFonts w:hint="eastAsia"/>
        </w:rPr>
        <w:t>内饰方面，新车采用</w:t>
      </w:r>
      <w:r>
        <w:t>15.6英寸中控屏。</w:t>
      </w:r>
    </w:p>
    <w:p w14:paraId="759ED246" w14:textId="3681CF9F" w:rsidR="00D0778A" w:rsidRPr="00865354" w:rsidRDefault="00D0778A" w:rsidP="00CA2130">
      <w:r>
        <w:rPr>
          <w:rFonts w:hint="eastAsia"/>
        </w:rPr>
        <w:t>动力方面，新车搭载纯电动机，</w:t>
      </w:r>
      <w:r>
        <w:t>NEDC综合续航里程达403km。</w:t>
      </w:r>
    </w:p>
    <w:p w14:paraId="68C15F11" w14:textId="77777777" w:rsidR="0090242E" w:rsidRDefault="0090242E" w:rsidP="00CA2130">
      <w:pPr>
        <w:rPr>
          <w:rFonts w:cs="宋体"/>
          <w:b/>
          <w:bCs/>
          <w:i/>
          <w:iCs/>
        </w:rPr>
      </w:pPr>
    </w:p>
    <w:p w14:paraId="5503ADBB" w14:textId="074EB828" w:rsidR="00CA2130" w:rsidRPr="0090242E" w:rsidRDefault="00CA2130" w:rsidP="00CA2130">
      <w:pPr>
        <w:pStyle w:val="a7"/>
        <w:numPr>
          <w:ilvl w:val="0"/>
          <w:numId w:val="7"/>
        </w:numPr>
        <w:ind w:firstLineChars="0"/>
        <w:outlineLvl w:val="0"/>
        <w:rPr>
          <w:b/>
          <w:sz w:val="30"/>
          <w:szCs w:val="30"/>
        </w:rPr>
      </w:pPr>
      <w:r w:rsidRPr="0090242E">
        <w:rPr>
          <w:rFonts w:cs="宋体" w:hint="eastAsia"/>
          <w:b/>
          <w:bCs/>
          <w:sz w:val="30"/>
          <w:szCs w:val="30"/>
        </w:rPr>
        <w:t>宏观经济与政策</w:t>
      </w:r>
    </w:p>
    <w:p w14:paraId="64F0C9FA" w14:textId="77777777" w:rsidR="00D0778A" w:rsidRPr="0090242E" w:rsidRDefault="00D0778A" w:rsidP="00CA2130">
      <w:pPr>
        <w:pStyle w:val="a7"/>
        <w:numPr>
          <w:ilvl w:val="0"/>
          <w:numId w:val="8"/>
        </w:numPr>
        <w:ind w:firstLineChars="0"/>
        <w:outlineLvl w:val="1"/>
        <w:rPr>
          <w:b/>
          <w:sz w:val="24"/>
        </w:rPr>
      </w:pPr>
      <w:r w:rsidRPr="0090242E">
        <w:rPr>
          <w:rFonts w:hint="eastAsia"/>
          <w:b/>
          <w:sz w:val="24"/>
        </w:rPr>
        <w:t>统计局：</w:t>
      </w:r>
      <w:r w:rsidRPr="0090242E">
        <w:rPr>
          <w:b/>
          <w:sz w:val="24"/>
        </w:rPr>
        <w:t>12月份CPI同比上涨1.5%</w:t>
      </w:r>
    </w:p>
    <w:p w14:paraId="2385F1F9" w14:textId="2F688858" w:rsidR="0090242E" w:rsidRPr="00865354" w:rsidRDefault="00D0778A" w:rsidP="00CA2130">
      <w:r>
        <w:t>12月份，CPI同比上涨1.5%，环比下降0.3%。2021年全年，CPI比上年上涨0.9%。</w:t>
      </w:r>
    </w:p>
    <w:p w14:paraId="212AEE4B" w14:textId="77777777" w:rsidR="00D0778A" w:rsidRPr="0090242E" w:rsidRDefault="00D0778A" w:rsidP="00CA2130">
      <w:pPr>
        <w:pStyle w:val="a7"/>
        <w:numPr>
          <w:ilvl w:val="0"/>
          <w:numId w:val="8"/>
        </w:numPr>
        <w:ind w:firstLineChars="0"/>
        <w:outlineLvl w:val="1"/>
        <w:rPr>
          <w:b/>
          <w:sz w:val="24"/>
        </w:rPr>
      </w:pPr>
      <w:r w:rsidRPr="0090242E">
        <w:rPr>
          <w:rFonts w:hint="eastAsia"/>
          <w:b/>
          <w:sz w:val="24"/>
        </w:rPr>
        <w:t>统计局：</w:t>
      </w:r>
      <w:r w:rsidRPr="0090242E">
        <w:rPr>
          <w:b/>
          <w:sz w:val="24"/>
        </w:rPr>
        <w:t>12月份PPI同比上涨10.3%</w:t>
      </w:r>
    </w:p>
    <w:p w14:paraId="7FF60635" w14:textId="0FEECD38" w:rsidR="0090242E" w:rsidRPr="00865354" w:rsidRDefault="00D0778A" w:rsidP="00CA2130">
      <w:r>
        <w:t>12月份，PPI同比上涨10.3%，环比下降1.2%。2021年全年，PPI比上年上涨8.1%。</w:t>
      </w:r>
    </w:p>
    <w:p w14:paraId="78CEA592" w14:textId="77777777" w:rsidR="00D0778A" w:rsidRPr="0090242E" w:rsidRDefault="00D0778A" w:rsidP="00CA2130">
      <w:pPr>
        <w:pStyle w:val="a7"/>
        <w:numPr>
          <w:ilvl w:val="0"/>
          <w:numId w:val="8"/>
        </w:numPr>
        <w:ind w:firstLineChars="0"/>
        <w:outlineLvl w:val="1"/>
        <w:rPr>
          <w:b/>
          <w:sz w:val="24"/>
        </w:rPr>
      </w:pPr>
      <w:r w:rsidRPr="0090242E">
        <w:rPr>
          <w:rFonts w:hint="eastAsia"/>
          <w:b/>
          <w:sz w:val="24"/>
        </w:rPr>
        <w:t>央行：</w:t>
      </w:r>
      <w:r w:rsidRPr="0090242E">
        <w:rPr>
          <w:b/>
          <w:sz w:val="24"/>
        </w:rPr>
        <w:t>2021年人民币贷款增加19.95万亿元</w:t>
      </w:r>
    </w:p>
    <w:p w14:paraId="27F674C2" w14:textId="5A33036A" w:rsidR="00D0778A" w:rsidRPr="00865354" w:rsidRDefault="00D0778A" w:rsidP="00CA2130">
      <w:r>
        <w:t>央行发布数据显示，12月末人民币贷款余额192.69万亿元，同比增长11.6%；2021年全年人民币贷款增加19.95万亿元，同比多增3,150亿元。</w:t>
      </w:r>
    </w:p>
    <w:p w14:paraId="20D98B88" w14:textId="77777777" w:rsidR="0090242E" w:rsidRDefault="0090242E" w:rsidP="00CA2130">
      <w:pPr>
        <w:rPr>
          <w:rFonts w:cs="宋体"/>
          <w:b/>
          <w:bCs/>
          <w:i/>
          <w:iCs/>
        </w:rPr>
      </w:pPr>
    </w:p>
    <w:p w14:paraId="65DE70FB" w14:textId="76A9E1D0" w:rsidR="00CA2130" w:rsidRPr="0090242E" w:rsidRDefault="00CA2130" w:rsidP="00CA2130">
      <w:pPr>
        <w:pStyle w:val="a7"/>
        <w:numPr>
          <w:ilvl w:val="0"/>
          <w:numId w:val="5"/>
        </w:numPr>
        <w:ind w:firstLineChars="0"/>
        <w:outlineLvl w:val="0"/>
        <w:rPr>
          <w:b/>
          <w:sz w:val="30"/>
          <w:szCs w:val="30"/>
        </w:rPr>
      </w:pPr>
      <w:r w:rsidRPr="0090242E">
        <w:rPr>
          <w:rFonts w:cs="宋体" w:hint="eastAsia"/>
          <w:b/>
          <w:bCs/>
          <w:sz w:val="30"/>
          <w:szCs w:val="30"/>
        </w:rPr>
        <w:t>新品信息跟踪</w:t>
      </w:r>
    </w:p>
    <w:p w14:paraId="77E286B6" w14:textId="77777777" w:rsidR="00D0778A" w:rsidRPr="0090242E" w:rsidRDefault="00D0778A" w:rsidP="00CA2130">
      <w:pPr>
        <w:pStyle w:val="a7"/>
        <w:numPr>
          <w:ilvl w:val="3"/>
          <w:numId w:val="6"/>
        </w:numPr>
        <w:ind w:left="426" w:firstLineChars="0"/>
        <w:outlineLvl w:val="1"/>
        <w:rPr>
          <w:b/>
          <w:sz w:val="24"/>
        </w:rPr>
      </w:pPr>
      <w:r w:rsidRPr="0090242E">
        <w:rPr>
          <w:rFonts w:hint="eastAsia"/>
          <w:b/>
          <w:sz w:val="24"/>
        </w:rPr>
        <w:t>全新梅赛德斯</w:t>
      </w:r>
      <w:r w:rsidRPr="0090242E">
        <w:rPr>
          <w:b/>
          <w:sz w:val="24"/>
        </w:rPr>
        <w:t>-奔驰E级</w:t>
      </w:r>
    </w:p>
    <w:p w14:paraId="4856EC87" w14:textId="77777777" w:rsidR="00D0778A" w:rsidRDefault="00D0778A" w:rsidP="00CA2130">
      <w:r>
        <w:rPr>
          <w:noProof/>
          <w:color w:val="000000"/>
        </w:rPr>
        <w:drawing>
          <wp:inline distT="0" distB="0" distL="0" distR="0" wp14:anchorId="48FA7BF9" wp14:editId="7069327E">
            <wp:extent cx="1800000" cy="1125000"/>
            <wp:effectExtent l="0" t="0" r="0" b="0"/>
            <wp:docPr id="5" name="图片 5" descr="http://dss.way-s.cn/news/net_images/sina/90844c04d0a860e97742b381311e8d2327460e63/63187df7e392ca4eaa42373cd9ee3ff8a45d88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sina/90844c04d0a860e97742b381311e8d2327460e63/63187df7e392ca4eaa42373cd9ee3ff8a45d884c.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C3F891B" w14:textId="32D86FED" w:rsidR="0090242E" w:rsidRPr="00721EBA" w:rsidRDefault="00D0778A" w:rsidP="00CA2130">
      <w:pPr>
        <w:rPr>
          <w:rFonts w:hint="eastAsia"/>
        </w:rPr>
      </w:pPr>
      <w:r>
        <w:rPr>
          <w:rFonts w:hint="eastAsia"/>
        </w:rPr>
        <w:t>全新第</w:t>
      </w:r>
      <w:r>
        <w:t>6代梅赛德斯-奔驰E级尽管全身仍然背负着厚重的伪装，看起来与上一次曝光的谍照并没有太大的不同，保留了现款车型的整体轮廓，但造型却会有很大的改进。新车的内饰会延用新C级和S级的设计，可以预见拥有最新的MBUX信息娱乐系统和技术，配备12.3英寸数字仪表盘和一个纵向布置的信息娱乐触摸屏，后者的尺寸仍不明朗，但新C级上提供9.5英寸和11.9英寸，新S级上则为12.8英寸。动力配置同样依然是一个待解的谜团，但新C级和S级给了一些提示，预计阵容可能包括一个258马力（190千瓦）和400牛米的2.0升涡轮增压四缸汽油发动机。</w:t>
      </w:r>
    </w:p>
    <w:p w14:paraId="7D9BE600" w14:textId="77777777" w:rsidR="00D0778A" w:rsidRPr="0090242E" w:rsidRDefault="00D0778A" w:rsidP="00CA2130">
      <w:pPr>
        <w:pStyle w:val="a7"/>
        <w:numPr>
          <w:ilvl w:val="3"/>
          <w:numId w:val="6"/>
        </w:numPr>
        <w:ind w:left="426" w:firstLineChars="0"/>
        <w:outlineLvl w:val="1"/>
        <w:rPr>
          <w:b/>
          <w:sz w:val="24"/>
        </w:rPr>
      </w:pPr>
      <w:r w:rsidRPr="0090242E">
        <w:rPr>
          <w:rFonts w:hint="eastAsia"/>
          <w:b/>
          <w:sz w:val="24"/>
        </w:rPr>
        <w:t>五菱全新</w:t>
      </w:r>
      <w:r w:rsidRPr="0090242E">
        <w:rPr>
          <w:b/>
          <w:sz w:val="24"/>
        </w:rPr>
        <w:t>SUV</w:t>
      </w:r>
    </w:p>
    <w:p w14:paraId="60D3958B" w14:textId="77777777" w:rsidR="00D0778A" w:rsidRDefault="00D0778A" w:rsidP="00CA2130">
      <w:r>
        <w:rPr>
          <w:noProof/>
          <w:color w:val="000000"/>
        </w:rPr>
        <w:drawing>
          <wp:inline distT="0" distB="0" distL="0" distR="0" wp14:anchorId="6D7A051B" wp14:editId="6218D751">
            <wp:extent cx="1800000" cy="1125000"/>
            <wp:effectExtent l="0" t="0" r="0" b="0"/>
            <wp:docPr id="24" name="图片 24" descr="http://dss.way-s.cn/news/net_images/news16888/b71e41761cdd7d322e501d7eaffed6a15b367111/56741d163b02ac543c55b247034ba1389f9c1d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news16888/b71e41761cdd7d322e501d7eaffed6a15b367111/56741d163b02ac543c55b247034ba1389f9c1db7.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E3FE477" w14:textId="344A96CA" w:rsidR="0090242E" w:rsidRPr="00721EBA" w:rsidRDefault="00D0778A" w:rsidP="00CA2130">
      <w:pPr>
        <w:rPr>
          <w:rFonts w:hint="eastAsia"/>
        </w:rPr>
      </w:pPr>
      <w:r>
        <w:t>外观方面，新车有着与星辰相似的前脸设计，包括相同的前大灯以及前格栅的造型，虽然新款车型的前格栅缩小了一半。这款全新的SUV显然比星辰的尺寸更小，预计价格上也将会比星辰更便宜。动力方面，可能还是搭载那台1.5T发动机，最大功率为147马力，峰值扭矩250牛·米。</w:t>
      </w:r>
    </w:p>
    <w:p w14:paraId="3941D64A" w14:textId="77777777" w:rsidR="00D0778A" w:rsidRPr="0090242E" w:rsidRDefault="00D0778A" w:rsidP="00CA2130">
      <w:pPr>
        <w:pStyle w:val="a7"/>
        <w:numPr>
          <w:ilvl w:val="3"/>
          <w:numId w:val="6"/>
        </w:numPr>
        <w:ind w:left="426" w:firstLineChars="0"/>
        <w:outlineLvl w:val="1"/>
        <w:rPr>
          <w:b/>
          <w:sz w:val="24"/>
        </w:rPr>
      </w:pPr>
      <w:r w:rsidRPr="0090242E">
        <w:rPr>
          <w:rFonts w:hint="eastAsia"/>
          <w:b/>
          <w:sz w:val="24"/>
        </w:rPr>
        <w:t>新款长安</w:t>
      </w:r>
      <w:r w:rsidRPr="0090242E">
        <w:rPr>
          <w:b/>
          <w:sz w:val="24"/>
        </w:rPr>
        <w:t>CS75PLUS将于2月上市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0778A" w:rsidRPr="00E80D34" w14:paraId="44E5F6F7" w14:textId="77777777" w:rsidTr="002151F7">
        <w:trPr>
          <w:tblCellSpacing w:w="15" w:type="dxa"/>
        </w:trPr>
        <w:tc>
          <w:tcPr>
            <w:tcW w:w="0" w:type="auto"/>
            <w:tcBorders>
              <w:top w:val="nil"/>
              <w:left w:val="nil"/>
              <w:bottom w:val="nil"/>
              <w:right w:val="nil"/>
            </w:tcBorders>
            <w:hideMark/>
          </w:tcPr>
          <w:p w14:paraId="2DC6B83D" w14:textId="77777777" w:rsidR="00D0778A" w:rsidRPr="00E80D34" w:rsidRDefault="00D0778A" w:rsidP="002151F7">
            <w:pPr>
              <w:widowControl/>
              <w:jc w:val="left"/>
              <w:rPr>
                <w:rFonts w:ascii="宋体" w:eastAsia="宋体" w:hAnsi="宋体" w:cs="宋体"/>
                <w:kern w:val="0"/>
                <w:sz w:val="24"/>
              </w:rPr>
            </w:pPr>
          </w:p>
        </w:tc>
        <w:tc>
          <w:tcPr>
            <w:tcW w:w="0" w:type="auto"/>
            <w:tcBorders>
              <w:top w:val="nil"/>
              <w:left w:val="nil"/>
              <w:bottom w:val="nil"/>
              <w:right w:val="nil"/>
            </w:tcBorders>
            <w:hideMark/>
          </w:tcPr>
          <w:p w14:paraId="3B96D075" w14:textId="77777777" w:rsidR="00D0778A" w:rsidRPr="00E80D34" w:rsidRDefault="00D0778A" w:rsidP="002151F7">
            <w:pPr>
              <w:widowControl/>
              <w:jc w:val="left"/>
              <w:rPr>
                <w:rFonts w:ascii="微软雅黑" w:eastAsia="微软雅黑" w:hAnsi="微软雅黑" w:cs="宋体"/>
                <w:color w:val="000000"/>
                <w:kern w:val="0"/>
                <w:sz w:val="27"/>
                <w:szCs w:val="27"/>
              </w:rPr>
            </w:pPr>
            <w:r w:rsidRPr="00E80D34">
              <w:rPr>
                <w:rFonts w:ascii="微软雅黑" w:eastAsia="微软雅黑" w:hAnsi="微软雅黑" w:cs="宋体"/>
                <w:noProof/>
                <w:color w:val="000000"/>
                <w:kern w:val="0"/>
                <w:sz w:val="27"/>
                <w:szCs w:val="27"/>
              </w:rPr>
              <w:drawing>
                <wp:inline distT="0" distB="0" distL="0" distR="0" wp14:anchorId="372EAE62" wp14:editId="0D7551C6">
                  <wp:extent cx="1800000" cy="882960"/>
                  <wp:effectExtent l="0" t="0" r="0" b="0"/>
                  <wp:docPr id="28" name="图片 28" descr="http://58.246.65.10:8231/UploadFile/202201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110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882960"/>
                          </a:xfrm>
                          <a:prstGeom prst="rect">
                            <a:avLst/>
                          </a:prstGeom>
                          <a:noFill/>
                          <a:ln>
                            <a:noFill/>
                          </a:ln>
                        </pic:spPr>
                      </pic:pic>
                    </a:graphicData>
                  </a:graphic>
                </wp:inline>
              </w:drawing>
            </w:r>
          </w:p>
        </w:tc>
        <w:tc>
          <w:tcPr>
            <w:tcW w:w="0" w:type="auto"/>
            <w:tcBorders>
              <w:top w:val="nil"/>
              <w:left w:val="nil"/>
              <w:bottom w:val="nil"/>
              <w:right w:val="nil"/>
            </w:tcBorders>
            <w:hideMark/>
          </w:tcPr>
          <w:p w14:paraId="23C7D93E" w14:textId="77777777" w:rsidR="00D0778A" w:rsidRPr="00E80D34" w:rsidRDefault="00D0778A" w:rsidP="002151F7">
            <w:pPr>
              <w:widowControl/>
              <w:jc w:val="left"/>
              <w:rPr>
                <w:rFonts w:ascii="微软雅黑" w:eastAsia="微软雅黑" w:hAnsi="微软雅黑" w:cs="宋体"/>
                <w:color w:val="000000"/>
                <w:kern w:val="0"/>
                <w:sz w:val="27"/>
                <w:szCs w:val="27"/>
              </w:rPr>
            </w:pPr>
          </w:p>
        </w:tc>
      </w:tr>
    </w:tbl>
    <w:p w14:paraId="45403A98" w14:textId="77777777" w:rsidR="00D0778A" w:rsidRDefault="00D0778A" w:rsidP="00CA2130">
      <w:r>
        <w:rPr>
          <w:rFonts w:hint="eastAsia"/>
        </w:rPr>
        <w:t>外观方面，新车采用贯穿式前后灯组、深</w:t>
      </w:r>
      <w:r>
        <w:t>V式/鳞片式前格栅。</w:t>
      </w:r>
    </w:p>
    <w:p w14:paraId="4C14C364" w14:textId="77777777" w:rsidR="00D0778A" w:rsidRDefault="00D0778A" w:rsidP="00CA2130">
      <w:r>
        <w:rPr>
          <w:rFonts w:hint="eastAsia"/>
        </w:rPr>
        <w:t>内饰方面，新车采用双</w:t>
      </w:r>
      <w:r>
        <w:t>12.3英寸的双联屏。</w:t>
      </w:r>
    </w:p>
    <w:p w14:paraId="256E62D1" w14:textId="44146593" w:rsidR="00D0778A" w:rsidRPr="00865354" w:rsidRDefault="00D0778A" w:rsidP="00CA2130">
      <w:r>
        <w:rPr>
          <w:rFonts w:hint="eastAsia"/>
        </w:rPr>
        <w:t>动力方面，新车搭载</w:t>
      </w:r>
      <w:r>
        <w:t>2.0T发动机，匹配8TIP变速箱。</w:t>
      </w:r>
    </w:p>
    <w:p w14:paraId="30899D9F" w14:textId="77777777" w:rsidR="0090242E" w:rsidRDefault="0090242E" w:rsidP="00CA2130">
      <w:pPr>
        <w:rPr>
          <w:rFonts w:cs="宋体"/>
          <w:b/>
          <w:bCs/>
          <w:i/>
          <w:iCs/>
        </w:rPr>
      </w:pPr>
    </w:p>
    <w:p w14:paraId="16D1BF19" w14:textId="77777777" w:rsidR="00CA2130" w:rsidRPr="0090242E" w:rsidRDefault="00CA2130" w:rsidP="00CA2130">
      <w:pPr>
        <w:pStyle w:val="a7"/>
        <w:numPr>
          <w:ilvl w:val="0"/>
          <w:numId w:val="3"/>
        </w:numPr>
        <w:ind w:firstLineChars="0"/>
        <w:outlineLvl w:val="0"/>
        <w:rPr>
          <w:sz w:val="30"/>
          <w:szCs w:val="30"/>
        </w:rPr>
      </w:pPr>
      <w:r w:rsidRPr="0090242E">
        <w:rPr>
          <w:rFonts w:cs="宋体" w:hint="eastAsia"/>
          <w:b/>
          <w:bCs/>
          <w:sz w:val="30"/>
          <w:szCs w:val="30"/>
        </w:rPr>
        <w:t>企业信息</w:t>
      </w:r>
    </w:p>
    <w:p w14:paraId="15AA7FA6" w14:textId="77777777" w:rsidR="00D0778A" w:rsidRPr="0090242E" w:rsidRDefault="00D0778A" w:rsidP="00A11666">
      <w:pPr>
        <w:pStyle w:val="a7"/>
        <w:numPr>
          <w:ilvl w:val="3"/>
          <w:numId w:val="10"/>
        </w:numPr>
        <w:ind w:firstLineChars="0"/>
        <w:jc w:val="left"/>
        <w:outlineLvl w:val="1"/>
        <w:rPr>
          <w:b/>
          <w:sz w:val="24"/>
        </w:rPr>
      </w:pPr>
      <w:r w:rsidRPr="0090242E">
        <w:rPr>
          <w:b/>
          <w:sz w:val="24"/>
        </w:rPr>
        <w:t>TCL成立新材料科技公司，经营范围含新能源汽车</w:t>
      </w:r>
    </w:p>
    <w:p w14:paraId="3DDF3313" w14:textId="0D6E8B63" w:rsidR="001167DB" w:rsidRPr="00865354" w:rsidRDefault="00D0778A" w:rsidP="00865354">
      <w:pPr>
        <w:ind w:firstLineChars="202" w:firstLine="424"/>
      </w:pPr>
      <w:r w:rsidRPr="00502AE9">
        <w:t>惠州TCL新材料科技有限公司成立，注册资本5000万，法定代表人为朱益群，经营范围包括新能源汽车废旧动力蓄电池回收及梯次利用；电子专用材料研发等。股东信息显示，该公司由TCL环保科技有限公司全资控股。</w:t>
      </w:r>
    </w:p>
    <w:p w14:paraId="78B4FDB7"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宝马</w:t>
      </w:r>
      <w:r w:rsidRPr="0090242E">
        <w:rPr>
          <w:b/>
          <w:sz w:val="24"/>
        </w:rPr>
        <w:t>2022年将在华推7款新能源产品</w:t>
      </w:r>
    </w:p>
    <w:p w14:paraId="729951BF" w14:textId="6A44E442" w:rsidR="001167DB" w:rsidRPr="00865354" w:rsidRDefault="00D0778A" w:rsidP="00865354">
      <w:pPr>
        <w:ind w:firstLineChars="270" w:firstLine="567"/>
      </w:pPr>
      <w:r>
        <w:t>2022年宝马将在中国市场呈现7款新能源产品，其中包括创新BMWiX、创新BMWi4、BMWiX3、纯电动BMW3系、还有1款纯电旗舰和2款PHEV车型。</w:t>
      </w:r>
    </w:p>
    <w:p w14:paraId="1970464B"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北京现代发布新车规划</w:t>
      </w:r>
    </w:p>
    <w:p w14:paraId="03DC6039" w14:textId="6820B8E4" w:rsidR="001167DB" w:rsidRPr="00865354" w:rsidRDefault="00D0778A" w:rsidP="00865354">
      <w:pPr>
        <w:ind w:firstLineChars="202" w:firstLine="424"/>
      </w:pPr>
      <w:r>
        <w:rPr>
          <w:rFonts w:hint="eastAsia"/>
        </w:rPr>
        <w:t>北京现代发布新车规划，电动车领域至</w:t>
      </w:r>
      <w:r>
        <w:t>2030年将总共会推出13款新车，大部分均基于E-GMP平台打造，代号为OE的一款介于轿车和SUV之间的跨界产品和代号为CJ的L4级自动驾驶辅助系统车型将先后登场，此外IONIQ6和IONIQ7也将导入中国市场，燃油车领域ix35和库斯途等产品将会陆续在两三年内换代。</w:t>
      </w:r>
    </w:p>
    <w:p w14:paraId="2014ED0A" w14:textId="77777777" w:rsidR="00D0778A" w:rsidRPr="0090242E" w:rsidRDefault="00D0778A" w:rsidP="00A11666">
      <w:pPr>
        <w:pStyle w:val="a7"/>
        <w:numPr>
          <w:ilvl w:val="3"/>
          <w:numId w:val="10"/>
        </w:numPr>
        <w:ind w:firstLineChars="0"/>
        <w:jc w:val="left"/>
        <w:outlineLvl w:val="1"/>
        <w:rPr>
          <w:b/>
          <w:sz w:val="24"/>
        </w:rPr>
      </w:pPr>
      <w:r w:rsidRPr="0090242E">
        <w:rPr>
          <w:rFonts w:hint="eastAsia"/>
          <w:b/>
          <w:sz w:val="24"/>
        </w:rPr>
        <w:t>奔驰</w:t>
      </w:r>
      <w:r w:rsidRPr="0090242E">
        <w:rPr>
          <w:b/>
          <w:sz w:val="24"/>
        </w:rPr>
        <w:t>2022年将向中国市场引入21款新车型</w:t>
      </w:r>
    </w:p>
    <w:p w14:paraId="0EA2919C" w14:textId="6EFFE088" w:rsidR="001167DB" w:rsidRPr="00865354" w:rsidRDefault="00D0778A" w:rsidP="00865354">
      <w:pPr>
        <w:ind w:firstLineChars="270" w:firstLine="567"/>
      </w:pPr>
      <w:r>
        <w:rPr>
          <w:rFonts w:hint="eastAsia"/>
        </w:rPr>
        <w:t>梅赛德斯</w:t>
      </w:r>
      <w:r>
        <w:t>-奔驰昨日表示，2021年，受到全球半导体供应短缺的影响，梅赛德斯-奔驰乘用车及轻型商务车全球交付超过240万辆新车。在中国市场，向中国客户交付758863辆品牌新车（-2%）。2021年，梅赛德斯-奔驰推出了5款新能源产品。其中，作为首款大型纯电豪华轿车，全新EQS在CLTC工况下的电动续航超过800公里；全新EQASUV及EQBSUV上市，进一步扩充了国产车型阵容；还有新一代E350eL插电混动轿车及运动轿车等插电混动产品。梅赛德斯-奔驰</w:t>
      </w:r>
      <w:r>
        <w:rPr>
          <w:rFonts w:hint="eastAsia"/>
        </w:rPr>
        <w:t>方面表示，</w:t>
      </w:r>
      <w:r>
        <w:t>2022年，梅赛德斯-奔驰将立足中国市场推出21款新产品，包括8款纯电及插电混动车型。</w:t>
      </w:r>
    </w:p>
    <w:p w14:paraId="191FCF1D"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布局充电补能板块</w:t>
      </w:r>
      <w:r w:rsidRPr="0090242E">
        <w:rPr>
          <w:b/>
          <w:sz w:val="24"/>
        </w:rPr>
        <w:t>小米投资富特科技</w:t>
      </w:r>
    </w:p>
    <w:p w14:paraId="12C861E7" w14:textId="691E71B0" w:rsidR="001167DB" w:rsidRPr="00865354" w:rsidRDefault="00D0778A" w:rsidP="00865354">
      <w:pPr>
        <w:ind w:firstLineChars="202" w:firstLine="424"/>
      </w:pPr>
      <w:r>
        <w:rPr>
          <w:rFonts w:hint="eastAsia"/>
        </w:rPr>
        <w:t>浙江富特科技股份有限公司宣布完成亿元战略轮融资。此轮融资由产业投资机构湖北小米长江产业基金合伙企业（有限合伙）投资，这也是富特科技继广汽资本、蔚来资本、安吉产投等战略投资之后的又一位重要产业资本。据悉，此轮融资所募资金将主要用于新平台研发以及海外市场的布局。</w:t>
      </w:r>
    </w:p>
    <w:p w14:paraId="1FD57402"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布局充电桩</w:t>
      </w:r>
      <w:r w:rsidRPr="0090242E">
        <w:rPr>
          <w:b/>
          <w:sz w:val="24"/>
        </w:rPr>
        <w:t>威马牵手香港电能有限公司</w:t>
      </w:r>
    </w:p>
    <w:p w14:paraId="21F5D1A3" w14:textId="454927AA" w:rsidR="001167DB" w:rsidRPr="00865354" w:rsidRDefault="00D0778A" w:rsidP="00865354">
      <w:pPr>
        <w:ind w:firstLineChars="202" w:firstLine="424"/>
      </w:pPr>
      <w:r>
        <w:rPr>
          <w:rFonts w:hint="eastAsia"/>
        </w:rPr>
        <w:t>威马汽车宣布与香港电能有限公司达成战略合作协议，共同探索即插即充充电服务的实施和</w:t>
      </w:r>
      <w:r>
        <w:t>V2G柔性补能技术的应用。目前，威马汽车的充电布局已覆盖全国32个省级行政区和361个城市。用户可以通过即时银行APP在全国使用44万多个充电桩，占全国公共充电桩总数的40%以上。</w:t>
      </w:r>
    </w:p>
    <w:p w14:paraId="25C5E494"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东风商用车牵手国家电投氢能公司</w:t>
      </w:r>
    </w:p>
    <w:p w14:paraId="33DECC9F" w14:textId="77777777" w:rsidR="00D0778A" w:rsidRDefault="00D0778A" w:rsidP="00641BC9">
      <w:pPr>
        <w:ind w:firstLineChars="202" w:firstLine="424"/>
      </w:pPr>
      <w:r>
        <w:t>2022年1月11日，新能源商用车市场再传喜讯，东风商用车有限公司与国家电投集团氢能科技发展有限公司在武汉签署战略合作协议，共同致力氢燃料电池商用车市场推广，助力未来双碳攻坚战。东风商用车总经理王玮、国家电投氢能公司总经理张银广、东风商用车副总经理金谋志、武汉绿动总经理刘真、东风商用车技术中心中心长杨鹏等出席了签约仪式。</w:t>
      </w:r>
    </w:p>
    <w:p w14:paraId="62A42266" w14:textId="01F087F8" w:rsidR="001167DB" w:rsidRPr="00865354" w:rsidRDefault="00D0778A" w:rsidP="00865354">
      <w:pPr>
        <w:ind w:firstLineChars="202" w:firstLine="424"/>
      </w:pPr>
      <w:r>
        <w:t>2021年五部委共同发布氢燃料示范通知，氢燃料产业将迎来快速发展期。据介绍，此次签署战略合作协议，东风商用车与国家电投氢能公司将秉承互惠互利的原则实现双赢发展，积极服务政府、市政环卫、大型物流公司等客户。双方将视对方为中重卡领域最优先合作伙伴，联合推广搭载国家电投氢能公司燃料电池系统的东风商用车公司整车产品，并计划在未来两年实现1000台氢燃料电池重卡的市场联合推广，共同致力绿色环保建设，打赢未来双碳攻坚战。</w:t>
      </w:r>
    </w:p>
    <w:p w14:paraId="42554B7E"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东阳光拟</w:t>
      </w:r>
      <w:r w:rsidRPr="0090242E">
        <w:rPr>
          <w:b/>
          <w:sz w:val="24"/>
        </w:rPr>
        <w:t>27.1亿在宜都建10万吨电池铝箔项目</w:t>
      </w:r>
    </w:p>
    <w:p w14:paraId="5D3DED80" w14:textId="77777777" w:rsidR="00D0778A" w:rsidRDefault="00D0778A" w:rsidP="00641BC9">
      <w:pPr>
        <w:ind w:firstLineChars="270" w:firstLine="567"/>
      </w:pPr>
      <w:r>
        <w:t>1月11日，东阳光公告称，拟投资27.1亿元，在湖北省宜都市陆城宝塔湾村建设年产10万吨低碳高端电池铝箔项目。</w:t>
      </w:r>
    </w:p>
    <w:p w14:paraId="11BABD4F" w14:textId="34D18262" w:rsidR="001167DB" w:rsidRPr="00865354" w:rsidRDefault="00D0778A" w:rsidP="00865354">
      <w:pPr>
        <w:ind w:firstLineChars="200" w:firstLine="420"/>
      </w:pPr>
      <w:r>
        <w:rPr>
          <w:rFonts w:hint="eastAsia"/>
        </w:rPr>
        <w:t>公告显示，项目建设期为</w:t>
      </w:r>
      <w:r>
        <w:t>36个月，将分两期建设。一、二期项目均为建设年产5万吨低碳高端电池铝箔项目，其中一期项目预计2023年投产，二期项目预计2025年投产。</w:t>
      </w:r>
    </w:p>
    <w:p w14:paraId="3544637B"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恒大汽车官方展现天津工厂</w:t>
      </w:r>
    </w:p>
    <w:p w14:paraId="3B48C47A" w14:textId="5AF83608" w:rsidR="001167DB" w:rsidRPr="00865354" w:rsidRDefault="00D0778A" w:rsidP="00865354">
      <w:pPr>
        <w:ind w:firstLineChars="202" w:firstLine="424"/>
      </w:pPr>
      <w:r>
        <w:rPr>
          <w:rFonts w:hint="eastAsia"/>
        </w:rPr>
        <w:t>恒大汽车品牌恒驰官方今日宣布：“恒驰</w:t>
      </w:r>
      <w:r>
        <w:t>5首车比原计划提前12天在天津工厂下线，恒驰汽车迎来重大里程碑！”此前有消息称，恒大汽车第一款量产车型恒驰5首车已于2021年12月30日成功下线，比原定时间提前了12天。知情人士透露，天津工厂当日举行了低调的下线活动。据悉，恒大汽车将在1月上旬举行首车下线仪式。</w:t>
      </w:r>
    </w:p>
    <w:p w14:paraId="7F01CBFF" w14:textId="0A92609D"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华为今年将挑战</w:t>
      </w:r>
      <w:r w:rsidRPr="0090242E">
        <w:rPr>
          <w:b/>
          <w:sz w:val="24"/>
        </w:rPr>
        <w:t>30</w:t>
      </w:r>
      <w:r w:rsidR="00EA4B7F">
        <w:rPr>
          <w:b/>
          <w:sz w:val="24"/>
        </w:rPr>
        <w:t>万辆</w:t>
      </w:r>
      <w:r w:rsidRPr="0090242E">
        <w:rPr>
          <w:b/>
          <w:sz w:val="24"/>
        </w:rPr>
        <w:t>汽车的销售目标</w:t>
      </w:r>
    </w:p>
    <w:p w14:paraId="349BD5E4" w14:textId="0150B323" w:rsidR="001167DB" w:rsidRPr="00865354" w:rsidRDefault="00D0778A" w:rsidP="00865354">
      <w:pPr>
        <w:ind w:firstLineChars="202" w:firstLine="424"/>
      </w:pPr>
      <w:r w:rsidRPr="008F37C4">
        <w:t>21世纪经济报道消息，1月9日，华为常务董事、消费者业务CEO、智能汽车解决方案BUCEO余承东在深圳总部与媒体连线，称今年华为将挑战30</w:t>
      </w:r>
      <w:r w:rsidR="00EA4B7F">
        <w:t>万辆</w:t>
      </w:r>
      <w:r w:rsidRPr="008F37C4">
        <w:t>汽车的销售目标。</w:t>
      </w:r>
    </w:p>
    <w:p w14:paraId="691E993B" w14:textId="2C207A2B"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极氪</w:t>
      </w:r>
      <w:r w:rsidRPr="0090242E">
        <w:rPr>
          <w:b/>
          <w:sz w:val="24"/>
        </w:rPr>
        <w:t>2022年目标销量7</w:t>
      </w:r>
      <w:r w:rsidR="00EA4B7F">
        <w:rPr>
          <w:b/>
          <w:sz w:val="24"/>
        </w:rPr>
        <w:t>万辆</w:t>
      </w:r>
      <w:r w:rsidRPr="0090242E">
        <w:rPr>
          <w:b/>
          <w:sz w:val="24"/>
        </w:rPr>
        <w:t>或将进入欧洲市场</w:t>
      </w:r>
    </w:p>
    <w:p w14:paraId="6DF7B98A" w14:textId="6E184909" w:rsidR="001167DB" w:rsidRPr="00865354" w:rsidRDefault="00D0778A" w:rsidP="00865354">
      <w:pPr>
        <w:ind w:firstLineChars="202" w:firstLine="424"/>
      </w:pPr>
      <w:r>
        <w:t>吉利旗下高端智能电动品牌ZEEKR极氪计划2022年售出7</w:t>
      </w:r>
      <w:r w:rsidR="00EA4B7F">
        <w:t>万辆</w:t>
      </w:r>
      <w:r>
        <w:t>新车，并预计将在2023年进入欧洲市场。</w:t>
      </w:r>
    </w:p>
    <w:p w14:paraId="2F491E23" w14:textId="3A65AA4F"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蓝牌新规正式实施</w:t>
      </w:r>
    </w:p>
    <w:p w14:paraId="1A0FD04F" w14:textId="2C540850" w:rsidR="001167DB" w:rsidRPr="00865354" w:rsidRDefault="00D0778A" w:rsidP="00865354">
      <w:pPr>
        <w:ind w:firstLineChars="202" w:firstLine="424"/>
      </w:pPr>
      <w:r>
        <w:t>2022年1月12日，工业和信息化部联合公安部发布了《关于进一步加强轻型货车、小微型载客汽车生产和登记管理工作的通知》。通知对轻型货车的技术参数做了明确要求，例如发动机排量不大于2.5L、轮胎名义断面宽度不超过7.00in(英制)、货厢内部宽度不大于2100mm等，并对车辆公告、上牌、生产、监督等环节加大约束力度，力求从产品源头有效消除轻型货车“大吨小标”、超载运输隐患。</w:t>
      </w:r>
    </w:p>
    <w:p w14:paraId="65452100" w14:textId="77777777" w:rsidR="00D0778A" w:rsidRPr="00CA0823" w:rsidRDefault="00D0778A" w:rsidP="00CA2130">
      <w:pPr>
        <w:pStyle w:val="a7"/>
        <w:numPr>
          <w:ilvl w:val="3"/>
          <w:numId w:val="10"/>
        </w:numPr>
        <w:ind w:firstLineChars="0"/>
        <w:jc w:val="left"/>
        <w:outlineLvl w:val="1"/>
        <w:rPr>
          <w:b/>
        </w:rPr>
      </w:pPr>
      <w:r w:rsidRPr="0090242E">
        <w:rPr>
          <w:rFonts w:hint="eastAsia"/>
          <w:b/>
          <w:sz w:val="24"/>
        </w:rPr>
        <w:t>哪吒汽车第</w:t>
      </w:r>
      <w:r w:rsidRPr="0090242E">
        <w:rPr>
          <w:b/>
          <w:sz w:val="24"/>
        </w:rPr>
        <w:t>10万辆量产车下线</w:t>
      </w:r>
    </w:p>
    <w:p w14:paraId="5356E324" w14:textId="36EC2A5F" w:rsidR="001167DB" w:rsidRPr="00865354" w:rsidRDefault="00D0778A" w:rsidP="00865354">
      <w:pPr>
        <w:ind w:firstLineChars="202" w:firstLine="424"/>
      </w:pPr>
      <w:r w:rsidRPr="001A3CA0">
        <w:t>1月8日，哪吒汽车第10万辆量产车下线，从第1辆到第10万辆下线，哪吒汽车用时42个月。</w:t>
      </w:r>
    </w:p>
    <w:p w14:paraId="6713EC25"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哪吒汽车申请“哪吒元宇宙”、“哪铁宇宙”商标</w:t>
      </w:r>
    </w:p>
    <w:p w14:paraId="52B313A3" w14:textId="6699555C" w:rsidR="001167DB" w:rsidRPr="00865354" w:rsidRDefault="00D0778A" w:rsidP="00865354">
      <w:pPr>
        <w:ind w:firstLineChars="135" w:firstLine="283"/>
      </w:pPr>
      <w:r w:rsidRPr="00FC1E9C">
        <w:t>哪吒汽车关联公司合众新能源汽车有限公司新增“哪吒元宇宙”、“合众元宇宙”、“哪铁宇宙”商标申请信息，国际分类涉及广告销售、科学仪器、运输工具等，目前商标状态均为注册申请中。</w:t>
      </w:r>
    </w:p>
    <w:p w14:paraId="032FF4A3"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宁德时代成立碳酸锂合资公司</w:t>
      </w:r>
      <w:r w:rsidRPr="0090242E">
        <w:rPr>
          <w:b/>
          <w:sz w:val="24"/>
        </w:rPr>
        <w:t>在沪成立未来能源研究院</w:t>
      </w:r>
    </w:p>
    <w:p w14:paraId="61C8B28E" w14:textId="77777777" w:rsidR="00D0778A" w:rsidRDefault="00D0778A" w:rsidP="00641BC9">
      <w:pPr>
        <w:ind w:firstLineChars="202" w:firstLine="424"/>
      </w:pPr>
      <w:r>
        <w:t>1月9日，奉新时代志存新能源材料有限公司正式成立，公司由宁德时代与志存锂业共同持股，具体持股比例暂未披露。</w:t>
      </w:r>
    </w:p>
    <w:p w14:paraId="488E8C3B" w14:textId="4DA1D4ED" w:rsidR="001167DB" w:rsidRPr="00865354" w:rsidRDefault="00D0778A" w:rsidP="00865354">
      <w:pPr>
        <w:ind w:firstLineChars="202" w:firstLine="424"/>
      </w:pPr>
      <w:r>
        <w:rPr>
          <w:rFonts w:hint="eastAsia"/>
        </w:rPr>
        <w:t>合资公司主营碳酸锂系列产品、锂电正极材料及其他化工产品研发、生产及销售，注册资本</w:t>
      </w:r>
      <w:r>
        <w:t>10亿元。</w:t>
      </w:r>
    </w:p>
    <w:p w14:paraId="67F5026F"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宁德时代上海工厂开始为特斯拉供应电池</w:t>
      </w:r>
    </w:p>
    <w:p w14:paraId="018FCCC3" w14:textId="4A929993" w:rsidR="001167DB" w:rsidRPr="00865354" w:rsidRDefault="00D0778A" w:rsidP="00865354">
      <w:pPr>
        <w:ind w:firstLineChars="202" w:firstLine="424"/>
      </w:pPr>
      <w:r w:rsidRPr="001A3CA0">
        <w:t>宁德时代在上海临港的锂电池工厂已经投产，并且具备为特斯拉供应磷酸铁锂电池的能力，双方工厂相距仅3公里。新工厂正处于产能爬坡阶段，目前已达设计产能的约60％。</w:t>
      </w:r>
    </w:p>
    <w:p w14:paraId="4493306C"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强强联合</w:t>
      </w:r>
      <w:r w:rsidRPr="0090242E">
        <w:rPr>
          <w:b/>
          <w:sz w:val="24"/>
        </w:rPr>
        <w:t>宝钢与蔚来签订战略合作协议</w:t>
      </w:r>
    </w:p>
    <w:p w14:paraId="14208960" w14:textId="72FDE9D2" w:rsidR="001167DB" w:rsidRPr="00865354" w:rsidRDefault="00D0778A" w:rsidP="00865354">
      <w:pPr>
        <w:ind w:firstLineChars="202" w:firstLine="424"/>
      </w:pPr>
      <w:r>
        <w:t>宝钢股份与蔚来汽车在上海嘉定区的蔚来公司举行战略合作签约协议，这也正式标志着双方携手开启新征程。在中国宝武党委常委、宝钢股份党委书记、董事长邹继新和蔚来创始人、董事长、CEO李斌等领导的见证下，宝钢股份党委常委、副总经理胡宏和蔚来高级副总裁曾澍湘分别代表各自企业在“宝钢股份-蔚来战略合作”协议上签字。</w:t>
      </w:r>
    </w:p>
    <w:p w14:paraId="6D16C224" w14:textId="77777777" w:rsidR="00D0778A" w:rsidRPr="00CA0823" w:rsidRDefault="00D0778A" w:rsidP="00CA2130">
      <w:pPr>
        <w:pStyle w:val="a7"/>
        <w:numPr>
          <w:ilvl w:val="3"/>
          <w:numId w:val="10"/>
        </w:numPr>
        <w:ind w:firstLineChars="0"/>
        <w:jc w:val="left"/>
        <w:outlineLvl w:val="1"/>
        <w:rPr>
          <w:b/>
        </w:rPr>
      </w:pPr>
      <w:r w:rsidRPr="0090242E">
        <w:rPr>
          <w:rFonts w:hint="eastAsia"/>
          <w:b/>
          <w:sz w:val="24"/>
        </w:rPr>
        <w:t>上汽集团</w:t>
      </w:r>
      <w:r w:rsidRPr="0090242E">
        <w:rPr>
          <w:b/>
          <w:sz w:val="24"/>
        </w:rPr>
        <w:t>2021年销量546.4万辆自主占比首次超过50%</w:t>
      </w:r>
    </w:p>
    <w:p w14:paraId="4A9550A7" w14:textId="53B29F95" w:rsidR="001167DB" w:rsidRPr="00865354" w:rsidRDefault="00D0778A" w:rsidP="00865354">
      <w:pPr>
        <w:ind w:firstLineChars="202" w:firstLine="424"/>
      </w:pPr>
      <w:r w:rsidRPr="00F50329">
        <w:t>1月7日，上汽集团公布的销量数据显示，2021年，公司销量约为546.4万辆(终端交付超过581万辆，同比增长5.5%)，连续十六年保持国内第一。整体来看，上汽集团自主板块则保持着增长势头，上汽乘用车与上汽大通2021年销量同比增速均超过20%，合资板块销量表现出现下行趋势。2021年上汽大众全年销量约为124.2万辆，上汽通用约为133.2万辆，上汽集团旗下自主品牌销量合计约285.7万辆，在集团总销量中占比为52.3%，这也是上汽集团自主品牌销量占比首次超过50%。</w:t>
      </w:r>
    </w:p>
    <w:p w14:paraId="18F3F732"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上汽通用新能源购车限时补贴方案公布</w:t>
      </w:r>
    </w:p>
    <w:p w14:paraId="1DCD1464" w14:textId="40377BD2" w:rsidR="001167DB" w:rsidRPr="00865354" w:rsidRDefault="00D0778A" w:rsidP="00865354">
      <w:pPr>
        <w:ind w:firstLineChars="202" w:firstLine="424"/>
      </w:pPr>
      <w:r>
        <w:rPr>
          <w:rFonts w:hint="eastAsia"/>
        </w:rPr>
        <w:t>上汽通用汽车宣布：对于</w:t>
      </w:r>
      <w:r>
        <w:t>2022年3月31日前支付订金购买别克微蓝6智能纯电轿车、别克微蓝6智能插电混动轿车、别克微蓝7智能纯电SUV和雪佛兰畅巡纯电城际轿跑的消费者，仍可享受与2021年相同的补贴优惠。</w:t>
      </w:r>
    </w:p>
    <w:p w14:paraId="279DB123"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万达红旗首店正式落地</w:t>
      </w:r>
      <w:r w:rsidRPr="0090242E">
        <w:rPr>
          <w:b/>
          <w:sz w:val="24"/>
        </w:rPr>
        <w:t>万达汽车圈启程</w:t>
      </w:r>
    </w:p>
    <w:p w14:paraId="0A95C0FD" w14:textId="437B2827" w:rsidR="001167DB" w:rsidRPr="00865354" w:rsidRDefault="00D0778A" w:rsidP="00865354">
      <w:pPr>
        <w:ind w:firstLineChars="270" w:firstLine="567"/>
      </w:pPr>
      <w:r>
        <w:t>1月8日，在万达集团与中国一汽宣布双方战略合作启动三个月后，双方的合作项目首家万达红旗旗舰店（体验中心）正式营业，这也是万达迈入汽车圈的又一次重要动作。</w:t>
      </w:r>
    </w:p>
    <w:p w14:paraId="14A5E2FA"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威孚高科拟设氢燃料电池零部件合资公司</w:t>
      </w:r>
    </w:p>
    <w:p w14:paraId="7809207E" w14:textId="4AA6B7A9" w:rsidR="001167DB" w:rsidRPr="00865354" w:rsidRDefault="00D0778A" w:rsidP="00865354">
      <w:pPr>
        <w:ind w:firstLineChars="202" w:firstLine="424"/>
      </w:pPr>
      <w:r>
        <w:rPr>
          <w:rFonts w:hint="eastAsia"/>
        </w:rPr>
        <w:t>威孚高科发布公告称，公司及子公司</w:t>
      </w:r>
      <w:r>
        <w:t>IRDFuelCellsA/S（以下简称“IRD”）、BoritNV（以下简称“Borit”）拟与RobertBoschInternationaleBeteiligungenAG（以下简称“RBINT”）、无锡市高新区新动能产业发展基金（有限合伙）（以下简称“新动能基金”）共同投资人民币5亿元设立无锡威孚氢燃料电池技术有限公司（暂定名，最终名称以市场监督管理部门核准登记为准，以下简称“合资公司”）。威孚高科表示，公司将以自有资金出资22500万元（占比45%），IRD出资7500万元（占比15%），Borit出资7500万元（占比15%），RBINT出资7500万元（占比15%），新动能基金出资5000万元（占比10%）。本次交易完成后，公司直接和间接持有合资公司75%股权，合资公司将会纳入公司合并报表范围。</w:t>
      </w:r>
    </w:p>
    <w:p w14:paraId="68970215"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蔚来与浙江商业集团合作建设换电站</w:t>
      </w:r>
    </w:p>
    <w:p w14:paraId="4BEBDAD3" w14:textId="5623EECB" w:rsidR="001167DB" w:rsidRPr="00865354" w:rsidRDefault="00D0778A" w:rsidP="00865354">
      <w:pPr>
        <w:ind w:firstLineChars="202" w:firstLine="424"/>
      </w:pPr>
      <w:r>
        <w:rPr>
          <w:rFonts w:hint="eastAsia"/>
        </w:rPr>
        <w:t>蔚来汽车宣布与浙江商业集团签署战略合作协议，双方将共同建设浙江高速换电网络。双方计划在</w:t>
      </w:r>
      <w:r>
        <w:t>2022年6月前，在浙江省至少15对高速公路服务区内部署换电站。</w:t>
      </w:r>
    </w:p>
    <w:p w14:paraId="46C5BD91"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小米任命于立国担任小米汽车副总裁</w:t>
      </w:r>
    </w:p>
    <w:p w14:paraId="4FD40744" w14:textId="595EBA50" w:rsidR="001167DB" w:rsidRPr="00865354" w:rsidRDefault="00D0778A" w:rsidP="00865354">
      <w:pPr>
        <w:ind w:firstLineChars="202" w:firstLine="424"/>
      </w:pPr>
      <w:r w:rsidRPr="001A3CA0">
        <w:t>小米集团发布内部邮件，任命于立国担任小米汽车副总裁兼小米汽车北京总部政委，负责统筹小米汽车综合管理工作、专项业务推进以及小米汽车北京总部组织和人才建设。</w:t>
      </w:r>
    </w:p>
    <w:p w14:paraId="75D8FAEE"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小鹏超充免费充电服务再新增</w:t>
      </w:r>
      <w:r w:rsidRPr="0090242E">
        <w:rPr>
          <w:b/>
          <w:sz w:val="24"/>
        </w:rPr>
        <w:t>20个城市</w:t>
      </w:r>
    </w:p>
    <w:p w14:paraId="201F6297" w14:textId="77777777" w:rsidR="00D0778A" w:rsidRDefault="00D0778A" w:rsidP="003861CA">
      <w:pPr>
        <w:ind w:firstLineChars="202" w:firstLine="424"/>
      </w:pPr>
      <w:r>
        <w:rPr>
          <w:rFonts w:hint="eastAsia"/>
        </w:rPr>
        <w:t>从</w:t>
      </w:r>
      <w:r>
        <w:t>XpengMotors官方获悉，从11月30日起，小鹏超充将再新增20个免费充电城市。此外，在此前开通此项服务的44个城市中，小鹏增压已在全国64个城市推出免费充电服务。</w:t>
      </w:r>
    </w:p>
    <w:p w14:paraId="21E7B1A7" w14:textId="30823C71" w:rsidR="001167DB" w:rsidRPr="00865354" w:rsidRDefault="00D0778A" w:rsidP="00865354">
      <w:pPr>
        <w:ind w:firstLineChars="202" w:firstLine="424"/>
      </w:pPr>
      <w:r>
        <w:rPr>
          <w:rFonts w:hint="eastAsia"/>
        </w:rPr>
        <w:t>据</w:t>
      </w:r>
      <w:r>
        <w:t>XpengMotors统计，共有3657家“鹏友”投票开通免费超充服务，包括沧州、大连、南通、烟台、三亚、邯郸、绍兴、镇江、驻马店、柳州、赣州、扬州、盐城、贵阳、湖州、芜湖、太原、绵阳、开封、廊坊等共20个城市。</w:t>
      </w:r>
    </w:p>
    <w:p w14:paraId="1F4C0269" w14:textId="77777777" w:rsidR="00D0778A" w:rsidRPr="00CA0823" w:rsidRDefault="00D0778A" w:rsidP="00CA2130">
      <w:pPr>
        <w:pStyle w:val="a7"/>
        <w:numPr>
          <w:ilvl w:val="3"/>
          <w:numId w:val="10"/>
        </w:numPr>
        <w:ind w:firstLineChars="0"/>
        <w:jc w:val="left"/>
        <w:outlineLvl w:val="1"/>
        <w:rPr>
          <w:b/>
        </w:rPr>
      </w:pPr>
      <w:r w:rsidRPr="0090242E">
        <w:rPr>
          <w:rFonts w:hint="eastAsia"/>
          <w:b/>
          <w:sz w:val="24"/>
        </w:rPr>
        <w:t>亿纬锂能</w:t>
      </w:r>
      <w:r w:rsidRPr="0090242E">
        <w:rPr>
          <w:b/>
          <w:sz w:val="24"/>
        </w:rPr>
        <w:t>1.44亿元竞得兴华锂盐35.29%股权</w:t>
      </w:r>
    </w:p>
    <w:p w14:paraId="381BEB7D" w14:textId="699DC84A" w:rsidR="001167DB" w:rsidRPr="00865354" w:rsidRDefault="00D0778A" w:rsidP="00865354">
      <w:pPr>
        <w:ind w:firstLineChars="202" w:firstLine="424"/>
      </w:pPr>
      <w:r w:rsidRPr="008F37C4">
        <w:t>亿纬锂能公告称，已竞拍取得兴华锂盐35.29%股权，成交价格1.44亿元。参照上述竞拍成交金额，以5601.58万元受让兴华锂盐13.71%股权，合计直接持有兴华锂盐49%股权。</w:t>
      </w:r>
    </w:p>
    <w:p w14:paraId="0D1065F1"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长城汽车正式入局卡车行业</w:t>
      </w:r>
    </w:p>
    <w:p w14:paraId="49238121" w14:textId="77777777" w:rsidR="00D0778A" w:rsidRDefault="00D0778A" w:rsidP="003861CA">
      <w:pPr>
        <w:ind w:firstLineChars="202" w:firstLine="424"/>
      </w:pPr>
      <w:r>
        <w:rPr>
          <w:rFonts w:hint="eastAsia"/>
        </w:rPr>
        <w:t>近日，长城汽车股份有限公司已经完成对河北长征汽车制造有限公司的收购，正式进入卡车行业。</w:t>
      </w:r>
    </w:p>
    <w:p w14:paraId="1BBC2BA1" w14:textId="4BF9ED96" w:rsidR="001167DB" w:rsidRPr="00865354" w:rsidRDefault="00D0778A" w:rsidP="00865354">
      <w:pPr>
        <w:ind w:firstLineChars="202" w:firstLine="424"/>
      </w:pPr>
      <w:r>
        <w:rPr>
          <w:rFonts w:hint="eastAsia"/>
        </w:rPr>
        <w:t>长城汽车成立如果科技有限公司，然后再通过</w:t>
      </w:r>
      <w:r>
        <w:t>100%子公司如果科技（邢台）有限公司100%持有河北长征。同时，如果科技还有如果智行科技（北京）有限公司及云视车联科技有限公司，长城通过如果平台运营商用车业务，并布局卡车自动驾驶及智能化。</w:t>
      </w:r>
    </w:p>
    <w:p w14:paraId="782D232A"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智己智能高定服务品牌</w:t>
      </w:r>
      <w:r w:rsidRPr="0090242E">
        <w:rPr>
          <w:b/>
          <w:sz w:val="24"/>
        </w:rPr>
        <w:t>IMCare一键达发布</w:t>
      </w:r>
    </w:p>
    <w:p w14:paraId="607CC876" w14:textId="4B7C413A" w:rsidR="001167DB" w:rsidRPr="00865354" w:rsidRDefault="00D0778A" w:rsidP="00865354">
      <w:pPr>
        <w:ind w:firstLineChars="202" w:firstLine="424"/>
      </w:pPr>
      <w:r>
        <w:rPr>
          <w:rFonts w:hint="eastAsia"/>
        </w:rPr>
        <w:t>智己汽车正式发布智能高定服务品牌“</w:t>
      </w:r>
      <w:r>
        <w:t>IMCare一键达”。从解决用户“痛点”出发，为用户定制了适合用户高频需求的全时零打扰的专属服务，一键式解决用户保险、维修、出行、车联等全场景需求。</w:t>
      </w:r>
    </w:p>
    <w:p w14:paraId="14F64E70" w14:textId="77777777" w:rsidR="00D0778A" w:rsidRPr="0090242E" w:rsidRDefault="00D0778A" w:rsidP="00CA2130">
      <w:pPr>
        <w:pStyle w:val="a7"/>
        <w:numPr>
          <w:ilvl w:val="3"/>
          <w:numId w:val="10"/>
        </w:numPr>
        <w:ind w:firstLineChars="0"/>
        <w:jc w:val="left"/>
        <w:outlineLvl w:val="1"/>
        <w:rPr>
          <w:b/>
          <w:sz w:val="24"/>
        </w:rPr>
      </w:pPr>
      <w:r w:rsidRPr="0090242E">
        <w:rPr>
          <w:rFonts w:hint="eastAsia"/>
          <w:b/>
          <w:sz w:val="24"/>
        </w:rPr>
        <w:t>中国重汽与中国外运、招商港口、招商轮船签协议</w:t>
      </w:r>
    </w:p>
    <w:p w14:paraId="482BD9A8" w14:textId="77777777" w:rsidR="00D0778A" w:rsidRDefault="00D0778A" w:rsidP="003861CA">
      <w:pPr>
        <w:ind w:firstLineChars="202" w:firstLine="424"/>
      </w:pPr>
      <w:r>
        <w:t>2021年1月12日，山东重工集团旗下中国重汽与招商局集团旗下中国外运、招商港口、招商轮船在深圳签订战略合作协议，在国内国际“双循环”新发展格局下，共同致力于全球范围内的多领域深化合作。招商局集团董事长缪建民，总经理胡建华，山东重工集团党委书记、董事长谭旭光，总经理江奎进行了会谈交流并见证签约。</w:t>
      </w:r>
    </w:p>
    <w:p w14:paraId="2DBAF89F" w14:textId="64ADF51F" w:rsidR="001167DB" w:rsidRDefault="001167DB" w:rsidP="00F17E05">
      <w:pPr>
        <w:rPr>
          <w:rFonts w:cs="宋体"/>
          <w:b/>
          <w:bCs/>
          <w:i/>
          <w:iCs/>
        </w:rPr>
      </w:pPr>
    </w:p>
    <w:p w14:paraId="0D3CEEEC" w14:textId="77777777" w:rsidR="00CA2130" w:rsidRPr="001167DB" w:rsidRDefault="00CA2130" w:rsidP="00CA2130">
      <w:pPr>
        <w:pStyle w:val="a7"/>
        <w:numPr>
          <w:ilvl w:val="0"/>
          <w:numId w:val="3"/>
        </w:numPr>
        <w:ind w:firstLineChars="0"/>
        <w:outlineLvl w:val="0"/>
        <w:rPr>
          <w:b/>
          <w:sz w:val="30"/>
          <w:szCs w:val="30"/>
        </w:rPr>
      </w:pPr>
      <w:r w:rsidRPr="001167DB">
        <w:rPr>
          <w:rFonts w:hint="eastAsia"/>
          <w:b/>
          <w:sz w:val="30"/>
          <w:szCs w:val="30"/>
        </w:rPr>
        <w:t>行业信息</w:t>
      </w:r>
    </w:p>
    <w:p w14:paraId="75A67AB2" w14:textId="77777777" w:rsidR="00D0778A" w:rsidRPr="001167DB" w:rsidRDefault="00D0778A" w:rsidP="00CA2130">
      <w:pPr>
        <w:pStyle w:val="a7"/>
        <w:numPr>
          <w:ilvl w:val="0"/>
          <w:numId w:val="9"/>
        </w:numPr>
        <w:ind w:firstLineChars="0"/>
        <w:outlineLvl w:val="1"/>
        <w:rPr>
          <w:b/>
          <w:sz w:val="24"/>
        </w:rPr>
      </w:pPr>
      <w:r w:rsidRPr="001167DB">
        <w:rPr>
          <w:b/>
          <w:sz w:val="24"/>
        </w:rPr>
        <w:t>2021车企销量：吉利121万排自主第一，比亚迪激增74%逼近本田</w:t>
      </w:r>
    </w:p>
    <w:p w14:paraId="26C2809C" w14:textId="514A02BA" w:rsidR="00D0778A" w:rsidRPr="00865354" w:rsidRDefault="00D0778A" w:rsidP="00865354">
      <w:pPr>
        <w:ind w:firstLineChars="202" w:firstLine="424"/>
      </w:pPr>
      <w:r>
        <w:rPr>
          <w:rFonts w:hint="eastAsia"/>
        </w:rPr>
        <w:t>乘联会零售数据显示，</w:t>
      </w:r>
      <w:r>
        <w:t>2021年国内狭义乘用车销售2014.6万辆，同比增长4.4%。一汽-大众以1,778,389辆的成绩夺得2021年度车企销冠，一点不意外，毕竟它11个月都是第一。不过，它15.7%的下滑也是榜中降幅第一，这也令其销量优势在减小。上汽大众销量同比下滑7.1%至1,457,111辆，排名第二；上汽通用下滑9.2%至1,277,261辆，排名第三位。虽然因芯片短缺销量受挫，但情况远没有有一汽-大众那么严重。吉利汽车以1,213,021辆成绩位居第四位，同比下滑2.8%。除了“缺芯”以</w:t>
      </w:r>
      <w:r>
        <w:rPr>
          <w:rFonts w:hint="eastAsia"/>
        </w:rPr>
        <w:t>外，吉利销量下滑的原因或与其新车推出时间相对较晚有关。吉利新车集中在下半年发布，因此留给新车发力的时间较短。东风日产销量下滑</w:t>
      </w:r>
      <w:r>
        <w:t>6.4%至1,134,889辆，排名第五位。长安汽车2021年销量同比增长18.5%至1,116,033辆，排名第六位，这是它首次年销过百万。</w:t>
      </w:r>
    </w:p>
    <w:p w14:paraId="0ECC9DAB" w14:textId="77777777" w:rsidR="00D0778A" w:rsidRPr="001167DB" w:rsidRDefault="00D0778A" w:rsidP="00CA2130">
      <w:pPr>
        <w:pStyle w:val="a7"/>
        <w:numPr>
          <w:ilvl w:val="0"/>
          <w:numId w:val="9"/>
        </w:numPr>
        <w:ind w:firstLineChars="0"/>
        <w:outlineLvl w:val="1"/>
        <w:rPr>
          <w:b/>
          <w:sz w:val="24"/>
        </w:rPr>
      </w:pPr>
      <w:r w:rsidRPr="001167DB">
        <w:rPr>
          <w:b/>
          <w:sz w:val="24"/>
        </w:rPr>
        <w:t>2021年国内动力电池装车量154.5GWh宁德时代市占率52.1%</w:t>
      </w:r>
    </w:p>
    <w:p w14:paraId="791D74D2" w14:textId="691421F1" w:rsidR="00D0778A" w:rsidRPr="00865354" w:rsidRDefault="00D0778A" w:rsidP="00865354">
      <w:pPr>
        <w:ind w:firstLineChars="202" w:firstLine="424"/>
      </w:pPr>
      <w:r w:rsidRPr="008F37C4">
        <w:t>2021年12月，我国动力电池装车量为26.2GWh，同比增长102.4%，环比增长25.9%。</w:t>
      </w:r>
    </w:p>
    <w:p w14:paraId="7A179A17" w14:textId="77777777" w:rsidR="00D0778A" w:rsidRPr="001167DB" w:rsidRDefault="00D0778A" w:rsidP="00CA2130">
      <w:pPr>
        <w:pStyle w:val="a7"/>
        <w:numPr>
          <w:ilvl w:val="0"/>
          <w:numId w:val="9"/>
        </w:numPr>
        <w:ind w:firstLineChars="0"/>
        <w:outlineLvl w:val="1"/>
        <w:rPr>
          <w:b/>
          <w:sz w:val="24"/>
        </w:rPr>
      </w:pPr>
      <w:r w:rsidRPr="001167DB">
        <w:rPr>
          <w:b/>
          <w:sz w:val="24"/>
        </w:rPr>
        <w:t>2021年机动车保有量3.95亿，新能源车784万辆</w:t>
      </w:r>
    </w:p>
    <w:p w14:paraId="767F63A8" w14:textId="77777777" w:rsidR="00D0778A" w:rsidRDefault="00D0778A" w:rsidP="003861CA">
      <w:pPr>
        <w:ind w:firstLineChars="202" w:firstLine="424"/>
      </w:pPr>
      <w:r>
        <w:t>1月11日，公安部交通管理局公布了2021年机动车保有量数据，2021年全国机动车保有量3.95亿辆，其中汽车3.02亿辆。</w:t>
      </w:r>
    </w:p>
    <w:p w14:paraId="137EFD69" w14:textId="5CC36654" w:rsidR="00D0778A" w:rsidRPr="00865354" w:rsidRDefault="00D0778A" w:rsidP="00865354">
      <w:pPr>
        <w:ind w:firstLineChars="202" w:firstLine="424"/>
      </w:pPr>
      <w:r>
        <w:t>2021年新能源汽车保有量784万辆，占汽车总量的2.6%。</w:t>
      </w:r>
    </w:p>
    <w:p w14:paraId="09CC71BA" w14:textId="77777777" w:rsidR="00D0778A" w:rsidRPr="001167DB" w:rsidRDefault="00D0778A" w:rsidP="00CA2130">
      <w:pPr>
        <w:pStyle w:val="a7"/>
        <w:numPr>
          <w:ilvl w:val="0"/>
          <w:numId w:val="9"/>
        </w:numPr>
        <w:ind w:firstLineChars="0"/>
        <w:outlineLvl w:val="1"/>
        <w:rPr>
          <w:b/>
          <w:sz w:val="24"/>
        </w:rPr>
      </w:pPr>
      <w:r w:rsidRPr="001167DB">
        <w:rPr>
          <w:b/>
          <w:sz w:val="24"/>
        </w:rPr>
        <w:t>2021年全国二手车交易1758.51万辆</w:t>
      </w:r>
    </w:p>
    <w:p w14:paraId="0333921D" w14:textId="77777777" w:rsidR="00D0778A" w:rsidRDefault="00D0778A" w:rsidP="003861CA">
      <w:pPr>
        <w:ind w:firstLineChars="202" w:firstLine="424"/>
      </w:pPr>
      <w:r>
        <w:t>2021年受疫情反复，极端天气和自然灾害频发，消费预期降低，全球供应链风险激增等国际国内多重因素的叠加影响，汽车市场面临复杂严峻的形势。但二手车市场在面临诸多挑战与压力下成为汽车市场的新亮点。中国汽车流通协会公布的数据显示，2021年1-12月二手车共交易1758.51万辆，同比增长22.62%，交易金额为11316.92亿元，同比增长27.32%。</w:t>
      </w:r>
    </w:p>
    <w:p w14:paraId="773C7B7D" w14:textId="75EADCE2" w:rsidR="003861CA" w:rsidRPr="00865354" w:rsidRDefault="00D0778A" w:rsidP="00865354">
      <w:pPr>
        <w:ind w:firstLineChars="202" w:firstLine="424"/>
      </w:pPr>
      <w:r>
        <w:rPr>
          <w:rFonts w:hint="eastAsia"/>
        </w:rPr>
        <w:t>从二手车消费规律来看，临近年末购车需求增加，</w:t>
      </w:r>
      <w:r>
        <w:t>12月普遍为全年二手车交易的最高点。2021年12月，全国二手车共交易161.82万辆，交易量环比增长4.83%，同比下降5.25%，交易金额为1161.86亿元。本月主要受散发疫情持续影响，市场总体客流量较同期有所下降，部分地区提倡就地过年等政策以及恶劣天气的增加造成跨区域流通不畅。</w:t>
      </w:r>
    </w:p>
    <w:p w14:paraId="19DA64D5" w14:textId="77777777" w:rsidR="00D0778A" w:rsidRPr="001167DB" w:rsidRDefault="00D0778A" w:rsidP="00CA2130">
      <w:pPr>
        <w:pStyle w:val="a7"/>
        <w:numPr>
          <w:ilvl w:val="0"/>
          <w:numId w:val="9"/>
        </w:numPr>
        <w:ind w:firstLineChars="0"/>
        <w:outlineLvl w:val="1"/>
        <w:rPr>
          <w:b/>
          <w:sz w:val="24"/>
        </w:rPr>
      </w:pPr>
      <w:r w:rsidRPr="001167DB">
        <w:rPr>
          <w:b/>
          <w:sz w:val="24"/>
        </w:rPr>
        <w:t>2021年新能源车零售298.9万辆，渗透率14.8%</w:t>
      </w:r>
    </w:p>
    <w:p w14:paraId="6A5AF52D" w14:textId="77777777" w:rsidR="00D0778A" w:rsidRPr="008B5D6F" w:rsidRDefault="00D0778A" w:rsidP="003861CA">
      <w:pPr>
        <w:ind w:firstLineChars="202" w:firstLine="424"/>
      </w:pPr>
      <w:r>
        <w:t>1月11日，乘联会公布12月及全年乘用车销售数据，2021年12月中国乘用车市场零售销量210.5万辆，同比下降7.9%，环比增长15.9%。</w:t>
      </w:r>
    </w:p>
    <w:p w14:paraId="3E7CA939" w14:textId="77777777" w:rsidR="00D0778A" w:rsidRDefault="00D0778A" w:rsidP="003861CA">
      <w:pPr>
        <w:ind w:firstLineChars="202" w:firstLine="424"/>
      </w:pPr>
      <w:r>
        <w:t>2021年1-12月中国乘用车市场零售累计2014.6万辆，同比增长4.4%，零售同比净增86万辆，其中传统燃油车减少102万辆，同比下降6%，而新能源车增量188万辆，同比增长169%。</w:t>
      </w:r>
    </w:p>
    <w:p w14:paraId="4F74BC6F" w14:textId="77777777" w:rsidR="00D0778A" w:rsidRDefault="00D0778A" w:rsidP="003861CA">
      <w:pPr>
        <w:ind w:firstLineChars="202" w:firstLine="424"/>
      </w:pPr>
      <w:r>
        <w:rPr>
          <w:rFonts w:hint="eastAsia"/>
        </w:rPr>
        <w:t>新能源方面，</w:t>
      </w:r>
      <w:r>
        <w:t>12月新能源乘用车零售销量达到47.5万辆，同比增长128.8%，环比增长25.4%。1-12月新能源车零售298.9万辆，同比增长169.1%。</w:t>
      </w:r>
    </w:p>
    <w:p w14:paraId="0542ADEA" w14:textId="53B3A82D" w:rsidR="003861CA" w:rsidRPr="00865354" w:rsidRDefault="00D0778A" w:rsidP="00865354">
      <w:pPr>
        <w:ind w:firstLineChars="202" w:firstLine="424"/>
      </w:pPr>
      <w:r>
        <w:t>12月新能源车国内零售渗透率22.6%，1-12月渗透率14.8%，2020年同期为5.8%。</w:t>
      </w:r>
    </w:p>
    <w:p w14:paraId="74891BE2"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北京将出台二手小客车交易周转指标管理办法</w:t>
      </w:r>
    </w:p>
    <w:p w14:paraId="4AFFB459" w14:textId="77777777" w:rsidR="00D0778A" w:rsidRDefault="00D0778A" w:rsidP="003861CA">
      <w:pPr>
        <w:ind w:firstLineChars="202" w:firstLine="424"/>
      </w:pPr>
      <w:r>
        <w:rPr>
          <w:rFonts w:hint="eastAsia"/>
        </w:rPr>
        <w:t>北京市</w:t>
      </w:r>
      <w:r>
        <w:t>2022年国民经济和社会发展计划报告中特别提出，为充分发挥消费基础性、引领性作用，将出台二手小客车交易周转指标管理办法，稳定和扩大汽车消费。</w:t>
      </w:r>
    </w:p>
    <w:p w14:paraId="1540FC70" w14:textId="2C8785FF" w:rsidR="003861CA" w:rsidRPr="00721EBA" w:rsidRDefault="00D0778A" w:rsidP="00721EBA">
      <w:pPr>
        <w:ind w:firstLineChars="202" w:firstLine="424"/>
        <w:rPr>
          <w:rFonts w:hint="eastAsia"/>
        </w:rPr>
      </w:pPr>
      <w:r>
        <w:rPr>
          <w:rFonts w:hint="eastAsia"/>
        </w:rPr>
        <w:t>全国乘用车市场信息联席会秘书长崔东树表示，通过推出二手车周转指标，可以实现二手车周转不占用现有车辆指标，对市场实行更加规范的管理，也可以降低二手车的周转成本，提升周转效率和增加二手车的周转容量，能够有效促进北京居民二手车更换新车的速度，对汽车市场，乃至大的消费市场都是一个利好的消息。北京市交通委相关部门的负责人称，“这种指标仅限于二手车商户临时登记车辆，与之对应的车辆也不得上路行驶，而一些实际操作层面的细节问题目前仍在制定中。”</w:t>
      </w:r>
    </w:p>
    <w:p w14:paraId="30266B13"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成都或将鼓励社会资本参与汽车充电桩建设运营</w:t>
      </w:r>
    </w:p>
    <w:p w14:paraId="448616CA" w14:textId="77777777" w:rsidR="00D0778A" w:rsidRDefault="00D0778A" w:rsidP="003861CA">
      <w:pPr>
        <w:ind w:firstLineChars="202" w:firstLine="424"/>
      </w:pPr>
      <w:r>
        <w:rPr>
          <w:rFonts w:hint="eastAsia"/>
        </w:rPr>
        <w:t>成都拟支持加油（气）站新建新能源汽车充换电设施，并拟根据停车位数量配建充电桩，新建建筑按</w:t>
      </w:r>
      <w:r>
        <w:t>15%~25%分类配建，既有机关及企事业单位按不低于20%配建。此外，拟支持既有非居民小区增设充电设施，按200元/千瓦时给予建设补贴，并拟支持既有居民小区规模化增设充电设施并实行“统建统管、有序充电”，按3000元/桩给予建设补贴。</w:t>
      </w:r>
    </w:p>
    <w:p w14:paraId="08666B3F" w14:textId="41198908" w:rsidR="003861CA" w:rsidRPr="00865354" w:rsidRDefault="00D0778A" w:rsidP="00CA2130">
      <w:r>
        <w:rPr>
          <w:rFonts w:hint="eastAsia"/>
        </w:rPr>
        <w:t>在充（换）电设施布局、储能发展应用等方面，成都拟鼓励和引导社会资本参与建设运营，推动小区个人充电设施“应装能装”。到</w:t>
      </w:r>
      <w:r>
        <w:t>2025年，全市充（换）电站3000座、充电桩16万个以上，车桩比例达到4：1。</w:t>
      </w:r>
    </w:p>
    <w:p w14:paraId="2454B20B" w14:textId="77777777" w:rsidR="00D0778A" w:rsidRPr="007E6607" w:rsidRDefault="00D0778A" w:rsidP="00CA2130">
      <w:pPr>
        <w:pStyle w:val="a7"/>
        <w:numPr>
          <w:ilvl w:val="0"/>
          <w:numId w:val="9"/>
        </w:numPr>
        <w:ind w:firstLineChars="0"/>
        <w:outlineLvl w:val="1"/>
        <w:rPr>
          <w:b/>
        </w:rPr>
      </w:pPr>
      <w:r w:rsidRPr="001167DB">
        <w:rPr>
          <w:rFonts w:hint="eastAsia"/>
          <w:b/>
          <w:sz w:val="24"/>
        </w:rPr>
        <w:t>工信部</w:t>
      </w:r>
      <w:r w:rsidRPr="001167DB">
        <w:rPr>
          <w:b/>
          <w:sz w:val="24"/>
        </w:rPr>
        <w:t>:加大力度推动新能源汽车和智能网联汽车发展</w:t>
      </w:r>
    </w:p>
    <w:p w14:paraId="603F07F7" w14:textId="77777777" w:rsidR="00D0778A" w:rsidRDefault="00D0778A" w:rsidP="003861CA">
      <w:pPr>
        <w:ind w:firstLineChars="202" w:firstLine="424"/>
      </w:pPr>
      <w:r>
        <w:t>1月12日，工业和信息化部装备工业一司发文总结：2021年，我国汽车产销分别完成2608.2万辆和2627.5万辆，同比分别增长3.4%和3.8%，结束了连续3年的下降趋势，为我国工业经济持续恢复发展、稳定宏观经济增长贡献了重要力量。工信部表示，下一步将全力维护汽车工业平稳健康运行，加大力度推动新能源汽车和智能网联汽车发展，努力提高产业链供应链稳定性和竞争力。</w:t>
      </w:r>
    </w:p>
    <w:p w14:paraId="39B907D7" w14:textId="4346FDBB" w:rsidR="003861CA" w:rsidRPr="00865354" w:rsidRDefault="00D0778A" w:rsidP="00865354">
      <w:pPr>
        <w:ind w:firstLineChars="202" w:firstLine="424"/>
      </w:pPr>
      <w:r>
        <w:rPr>
          <w:rFonts w:hint="eastAsia"/>
        </w:rPr>
        <w:t>在新能源领域，根据《新能源汽车产业发展规划（</w:t>
      </w:r>
      <w:r>
        <w:t>2021—2035年）》，全国持续开展新能源汽车下乡活动，启动换电模式应用试点，优化调整“双积分”政策，启动燃料电池汽车示范应用，推动提升公共领域电动化水平。2021年，我国新能源汽车销售完成352.1万辆，同比增长1.6倍，连续7年位居全球第一；搭载组合辅助驾驶系统的乘用车新车市场占比达到20%。</w:t>
      </w:r>
    </w:p>
    <w:p w14:paraId="40BCA134"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工信部：提升关键资源保障能力</w:t>
      </w:r>
      <w:r w:rsidRPr="001167DB">
        <w:rPr>
          <w:b/>
          <w:sz w:val="24"/>
        </w:rPr>
        <w:t>将加快国内锂资源开发</w:t>
      </w:r>
    </w:p>
    <w:p w14:paraId="4E9957D4" w14:textId="5FBA90D4" w:rsidR="003861CA" w:rsidRPr="00865354" w:rsidRDefault="00D0778A" w:rsidP="00865354">
      <w:pPr>
        <w:ind w:firstLineChars="202" w:firstLine="424"/>
      </w:pPr>
      <w:r>
        <w:t>1月12日，工信部装备工业一司副司长郭守刚表示，下一步，工信部将充分发挥节能与新能源汽车部际联席会议机制作用，制定支持新能源汽车加快发展的政策措施，保持政策体系有效衔接。同时，统筹提升关键资源保障能力，加强与青海、四川、江西等省市沟通协调，推动加快国内锂资源的开发。</w:t>
      </w:r>
    </w:p>
    <w:p w14:paraId="5AD30888" w14:textId="77777777" w:rsidR="00D0778A" w:rsidRPr="00707E9D" w:rsidRDefault="00D0778A" w:rsidP="00CA2130">
      <w:pPr>
        <w:pStyle w:val="a7"/>
        <w:numPr>
          <w:ilvl w:val="0"/>
          <w:numId w:val="9"/>
        </w:numPr>
        <w:ind w:firstLineChars="0"/>
        <w:outlineLvl w:val="1"/>
        <w:rPr>
          <w:b/>
        </w:rPr>
      </w:pPr>
      <w:r w:rsidRPr="001167DB">
        <w:rPr>
          <w:rFonts w:hint="eastAsia"/>
          <w:b/>
          <w:sz w:val="24"/>
        </w:rPr>
        <w:t>工信部等</w:t>
      </w:r>
      <w:r w:rsidRPr="001167DB">
        <w:rPr>
          <w:b/>
          <w:sz w:val="24"/>
        </w:rPr>
        <w:t>12部门：网络安全技术应用试点示范工作启动</w:t>
      </w:r>
    </w:p>
    <w:p w14:paraId="71237973" w14:textId="0602DCDE" w:rsidR="003861CA" w:rsidRPr="00865354" w:rsidRDefault="00D0778A" w:rsidP="00865354">
      <w:pPr>
        <w:ind w:firstLineChars="270" w:firstLine="567"/>
      </w:pPr>
      <w:r>
        <w:t>1月10日，工信部等十二部门联合印发通知，组织开展网络安全技术应用试点示范工作，将面向公共通信和信息服务、能源、交通、水利、应急管理、金融、医疗、广播电视等重要行业领域网络安全保障需求，从云安全、人工智能安全、大数据安全、车联网安全、物联网安全、智慧城市安全、网络安全共性技术、网络安全创新服务、网络安全“高精尖”技术创新平台9个重点方向，遴选一批技术先进、应用成效显著的试点示范项目。</w:t>
      </w:r>
    </w:p>
    <w:p w14:paraId="2B7E8B70"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工信部拟修订国标</w:t>
      </w:r>
      <w:r w:rsidRPr="001167DB">
        <w:rPr>
          <w:b/>
          <w:sz w:val="24"/>
        </w:rPr>
        <w:t>“大功率充电”“V2G”迎来风口</w:t>
      </w:r>
    </w:p>
    <w:p w14:paraId="30B81BD5" w14:textId="77777777" w:rsidR="00D0778A" w:rsidRDefault="00D0778A" w:rsidP="003861CA">
      <w:pPr>
        <w:ind w:firstLineChars="202" w:firstLine="424"/>
      </w:pPr>
      <w:r>
        <w:rPr>
          <w:rFonts w:hint="eastAsia"/>
        </w:rPr>
        <w:t>新能源汽车的里程焦虑、充电慢有望在</w:t>
      </w:r>
      <w:r>
        <w:t>2022年得到“救治”。1月8日，电车资源获悉，2021年12月31日，国家标准化管理委员会正式下达工业和信息化部提出、全国汽车标准化技术委员会归口的《电动汽车传导充电用连接装置第1部分：通用要求》推荐性国家标准修订计划。</w:t>
      </w:r>
    </w:p>
    <w:p w14:paraId="63CA5C4A" w14:textId="662C4D78" w:rsidR="003861CA" w:rsidRPr="00721EBA" w:rsidRDefault="00D0778A" w:rsidP="00721EBA">
      <w:pPr>
        <w:ind w:firstLineChars="202" w:firstLine="424"/>
        <w:rPr>
          <w:rFonts w:hint="eastAsia"/>
        </w:rPr>
      </w:pPr>
      <w:r>
        <w:rPr>
          <w:rFonts w:hint="eastAsia"/>
        </w:rPr>
        <w:t>工信部在发文中明确表示，随着新能源汽车续驶里程增加、动力电池大倍率充电技术提升，消费者对车辆快速补充电能的需求日益强烈，“大功率充电”“</w:t>
      </w:r>
      <w:r>
        <w:t>V2G（车辆到电网）”等新技术新业态不断涌现。</w:t>
      </w:r>
    </w:p>
    <w:p w14:paraId="1F948BD4"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公安部</w:t>
      </w:r>
      <w:r w:rsidRPr="001167DB">
        <w:rPr>
          <w:b/>
          <w:sz w:val="24"/>
        </w:rPr>
        <w:t>:二手车转移登记超新车保有量超美国</w:t>
      </w:r>
    </w:p>
    <w:p w14:paraId="6CBDB614" w14:textId="747A4FA4" w:rsidR="003861CA" w:rsidRPr="00865354" w:rsidRDefault="00D0778A" w:rsidP="00865354">
      <w:pPr>
        <w:ind w:firstLineChars="202" w:firstLine="424"/>
      </w:pPr>
      <w:r w:rsidRPr="0009130D">
        <w:t>2021年，全国公安交管部门共办理机动车转移登记业务3048万笔。其中，汽车转移登记业务2923万笔，占95.90%。近五年二手汽车转移登记与新车注册登记数量的比例由0.67上升至1.11，反超新车注册登记量，在取消二手车“限迁”及二手车异地交易登记等政策积极助推下，二手车交易市场日益活跃。</w:t>
      </w:r>
    </w:p>
    <w:p w14:paraId="7E05F2B0"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国务院</w:t>
      </w:r>
      <w:r w:rsidRPr="001167DB">
        <w:rPr>
          <w:b/>
          <w:sz w:val="24"/>
        </w:rPr>
        <w:t>:完善新能源汽车等重点产业供应链体系</w:t>
      </w:r>
    </w:p>
    <w:p w14:paraId="5F249456" w14:textId="4CF57750" w:rsidR="003861CA" w:rsidRPr="00865354" w:rsidRDefault="00D0778A" w:rsidP="00865354">
      <w:pPr>
        <w:ind w:firstLineChars="202" w:firstLine="424"/>
      </w:pPr>
      <w:r w:rsidRPr="00F766F3">
        <w:t>12日，国务院印发《“十四五”数字经济发展规划》（以下简称《规划》），指出要实施产业链强链补链行动，提升产业链关键环节竞争力，完善5G、集成电路、新能源汽车、人工智能、工业互联网等重点产业供应链体系。总体来看，《规划》共部署了八方面重点任务。一是优化升级数字基础设施；二是充分发挥数据要素作用；三是大力推进产业数字化转型；四是加快推动数字产业化；五是持续提升公共服务数字化水平；六是健全完善数字经济治理体系；七是着力强化数字经济安全体系；八是有效拓展数字经济国际合作。</w:t>
      </w:r>
    </w:p>
    <w:p w14:paraId="38C2CB97"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交通运输部：健全适老化出行标准体系</w:t>
      </w:r>
    </w:p>
    <w:p w14:paraId="6D566D00" w14:textId="23CB1684" w:rsidR="003861CA" w:rsidRPr="00865354" w:rsidRDefault="00D0778A" w:rsidP="00865354">
      <w:pPr>
        <w:ind w:firstLineChars="202" w:firstLine="424"/>
      </w:pPr>
      <w:r>
        <w:rPr>
          <w:rFonts w:hint="eastAsia"/>
        </w:rPr>
        <w:t>交通运输部表示，将同相关部门一起，持续推进交通运输适老化出行服务体系建设，不断增强老年人出行的获得感、幸福感、安全感。交通运输部表示已会同全国老龄办等</w:t>
      </w:r>
      <w:r>
        <w:t>7部门印发了《关于进一步加强和改善老年人残疾人出行服务的实施意见》等文件，对为老年人提供优惠乘车、无障碍出行服务、设置专座等提出了相关要求。交通运输部表示，我国适老化出行服务的“硬设施”和“软环境”持续优化，但对比国际先进水平和新需求，交通运输适老化出行服务能力仍显不足，服务质量有待进一步提升。下一步，将健全制度顶层设计。进一步健全完善适老化出行顶层制度</w:t>
      </w:r>
      <w:r>
        <w:rPr>
          <w:rFonts w:hint="eastAsia"/>
        </w:rPr>
        <w:t>设计。</w:t>
      </w:r>
    </w:p>
    <w:p w14:paraId="1CB0F218"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氢燃料补助改变</w:t>
      </w:r>
      <w:r w:rsidRPr="001167DB">
        <w:rPr>
          <w:b/>
          <w:sz w:val="24"/>
        </w:rPr>
        <w:t>河北、河南获批示范区</w:t>
      </w:r>
    </w:p>
    <w:p w14:paraId="4B4432D3" w14:textId="77777777" w:rsidR="00D0778A" w:rsidRDefault="00D0778A" w:rsidP="003861CA">
      <w:pPr>
        <w:ind w:firstLineChars="202" w:firstLine="424"/>
      </w:pPr>
      <w:r>
        <w:rPr>
          <w:rFonts w:hint="eastAsia"/>
        </w:rPr>
        <w:t>财政部、工业和信息化部、科技部、国家发展改革委、国家能源局等五部门发布《关于启动新一批燃料电池汽车示范应用工作的通知》，要求河北、河南省有关部门要切实加强燃料电池汽车示范应用工作组织实施。</w:t>
      </w:r>
    </w:p>
    <w:p w14:paraId="3D8417FE" w14:textId="581A1BFB" w:rsidR="003861CA" w:rsidRPr="00865354" w:rsidRDefault="00D0778A" w:rsidP="00865354">
      <w:pPr>
        <w:ind w:firstLineChars="202" w:firstLine="424"/>
      </w:pPr>
      <w:r>
        <w:rPr>
          <w:rFonts w:hint="eastAsia"/>
        </w:rPr>
        <w:t>行业人士应该比较清楚，</w:t>
      </w:r>
      <w:r>
        <w:t>2009年以来，中央财政一直采取对消费者给予购置补贴的方式，支持燃料电池汽车发展。</w:t>
      </w:r>
    </w:p>
    <w:p w14:paraId="07A54175"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山东氢能大棋局渐入佳境</w:t>
      </w:r>
    </w:p>
    <w:p w14:paraId="69CCCFE9" w14:textId="77777777" w:rsidR="00D0778A" w:rsidRDefault="00D0778A" w:rsidP="003861CA">
      <w:pPr>
        <w:ind w:firstLineChars="202" w:firstLine="424"/>
      </w:pPr>
      <w:r>
        <w:rPr>
          <w:rFonts w:hint="eastAsia"/>
        </w:rPr>
        <w:t>近年来，山东不断健全完善产业体系，强化科技创新引擎，加速推进氢能发展，多项工作走在全国前列。</w:t>
      </w:r>
      <w:r>
        <w:t>2021年4月16日，科技部与山东省签署“氢进万家”科技示范工程框架协议，山东率先开启氢能时代。</w:t>
      </w:r>
    </w:p>
    <w:p w14:paraId="417FE4CD" w14:textId="285F58E7" w:rsidR="003861CA" w:rsidRPr="00865354" w:rsidRDefault="00D0778A" w:rsidP="00865354">
      <w:pPr>
        <w:ind w:firstLineChars="202" w:firstLine="424"/>
      </w:pPr>
      <w:r>
        <w:t>1月8日，在济南召开的国家燃料电池技术创新中心和“氢进万家”科技示范工程运行情况座谈会上，据了解到，通过近一年的示范，“氢进万家”工程各项任务取得了明显进展，一系列首创级成果相继诞生、落地，山东交出了一份阶段性的成绩单。</w:t>
      </w:r>
    </w:p>
    <w:p w14:paraId="02BE15E3"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上海将建智能网联汽车低风险数据目录</w:t>
      </w:r>
    </w:p>
    <w:p w14:paraId="63AD534B" w14:textId="26E884F2" w:rsidR="003861CA" w:rsidRPr="00865354" w:rsidRDefault="00D0778A" w:rsidP="00865354">
      <w:pPr>
        <w:ind w:firstLineChars="270" w:firstLine="567"/>
      </w:pPr>
      <w:r>
        <w:rPr>
          <w:rFonts w:hint="eastAsia"/>
        </w:rPr>
        <w:t>上海市政府举行新闻发布会，会上介绍了《上海市数据条例》配套政策措施相关情况，并提出：上海将率先在智能网联汽车、金融科技、工业互联网等领域形成一整套低风险数据目录，推动临港新片区试点低风险领域数据跨境流动。推动长三角协同创新，建设全国一体化算力网络长三角国家枢纽节点，推进数字认证体系、电子证照等在长三角区域互认互通，推动政务服务和城市运行管理实现长三角区域协同。</w:t>
      </w:r>
      <w:r>
        <w:t>2021年7月，上海市经济和信息化委员会发布了《上海市智能网联汽车测试与示范实施办法》（下称“办法”）的征求意见稿，要求各单位对智能汽车测试过程</w:t>
      </w:r>
      <w:r>
        <w:rPr>
          <w:rFonts w:hint="eastAsia"/>
        </w:rPr>
        <w:t>中产生的数据采取相关措施保护数据保密，形成个人信息保护制度，禁止非法交易、转让和披露相关数据。</w:t>
      </w:r>
    </w:p>
    <w:p w14:paraId="07ACBFA8"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四部门：</w:t>
      </w:r>
      <w:r w:rsidRPr="001167DB">
        <w:rPr>
          <w:b/>
          <w:sz w:val="24"/>
        </w:rPr>
        <w:t>2022年底前实现汽车维修电子记录数据的实时归集</w:t>
      </w:r>
    </w:p>
    <w:p w14:paraId="326FD322" w14:textId="69BE738D" w:rsidR="003861CA" w:rsidRPr="00865354" w:rsidRDefault="00D0778A" w:rsidP="00865354">
      <w:pPr>
        <w:ind w:firstLineChars="202" w:firstLine="424"/>
      </w:pPr>
      <w:r>
        <w:t>1月7日，交通运输部办公厅等4部门发布《关于深化汽车维修数据综合应用有关工作的通知》，其中提出，各地交通运输主管部门要依托汽车维修电子健康档案系统，组织做好三类汽车维修经营者数据归集上传工作，积极引导《汽车维修业开业条件》(GB/T16739.2)中明确的汽车综合小修经营者，以及从事发动机、变速器、车身、空调、电气系统维修和四轮定位业务的专项维修经营者，于2022年底前实现维修电子记录数据的实时归集。</w:t>
      </w:r>
    </w:p>
    <w:p w14:paraId="035655E0"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四川启动新能源与智能汽车政策奖励申报</w:t>
      </w:r>
    </w:p>
    <w:p w14:paraId="22292AF3" w14:textId="77777777" w:rsidR="00D0778A" w:rsidRDefault="00D0778A" w:rsidP="003861CA">
      <w:pPr>
        <w:ind w:firstLineChars="270" w:firstLine="567"/>
      </w:pPr>
      <w:r>
        <w:rPr>
          <w:rFonts w:hint="eastAsia"/>
        </w:rPr>
        <w:t>四川省经济和信息化厅发布《关于做好新能源与智能汽车相关政策奖励申报工作的通知》。新能源与智能汽车相关政策奖励申报支持范围如下：</w:t>
      </w:r>
    </w:p>
    <w:p w14:paraId="20616513" w14:textId="77777777" w:rsidR="00D0778A" w:rsidRDefault="00D0778A" w:rsidP="003861CA">
      <w:pPr>
        <w:ind w:firstLineChars="270" w:firstLine="567"/>
      </w:pPr>
      <w:r>
        <w:t>(一)新能源汽车新车型奖励。支持省内企业新开发的新能源乘用车、客车、货车和氢燃料电池汽车产品。申报车型应在2020年9月30日以后进入工业和信息化部《新能源汽车推广应用推荐车型目录》的新发布车型，且在进入目录后一年时间内销量分别达到1000辆、200辆、500辆、50辆（往年已取得此项支持的车型不予重复支持）。</w:t>
      </w:r>
    </w:p>
    <w:p w14:paraId="536F579A" w14:textId="77777777" w:rsidR="00D0778A" w:rsidRDefault="00D0778A" w:rsidP="003861CA">
      <w:pPr>
        <w:ind w:firstLineChars="270" w:firstLine="567"/>
      </w:pPr>
      <w:r>
        <w:rPr>
          <w:rFonts w:hint="eastAsia"/>
        </w:rPr>
        <w:t>（二）新能源汽车市场开拓奖励。支持省内整车企业提升产品品质、扩大销量。申报企业</w:t>
      </w:r>
      <w:r>
        <w:t>2021年新能源乘用车、货车、客车产品年销量应分别达到10000辆、5000辆、3000辆，且年销量同比增长10%以上。</w:t>
      </w:r>
    </w:p>
    <w:p w14:paraId="718096A5" w14:textId="77777777" w:rsidR="00D0778A" w:rsidRDefault="00D0778A" w:rsidP="003861CA">
      <w:pPr>
        <w:ind w:firstLineChars="270" w:firstLine="567"/>
      </w:pPr>
      <w:r>
        <w:rPr>
          <w:rFonts w:hint="eastAsia"/>
        </w:rPr>
        <w:t>（三）新能源与智能汽车展会活动支持。支持</w:t>
      </w:r>
      <w:r>
        <w:t>2021年举办的具有一定影响力的新能源与智能汽车产业相关展览展示、产品大赛、产业大会等活动。</w:t>
      </w:r>
    </w:p>
    <w:p w14:paraId="6D2020C3" w14:textId="77777777" w:rsidR="00D0778A" w:rsidRDefault="00D0778A" w:rsidP="003861CA">
      <w:pPr>
        <w:ind w:firstLineChars="270" w:firstLine="567"/>
      </w:pPr>
      <w:r>
        <w:rPr>
          <w:rFonts w:hint="eastAsia"/>
        </w:rPr>
        <w:t>（四）智能汽车公共平台支持。支持国内领先的，投资大、</w:t>
      </w:r>
      <w:r>
        <w:t>产业带动强的智能汽车研发创新、技术认证、测试场等公共平台建设。</w:t>
      </w:r>
    </w:p>
    <w:p w14:paraId="0495DD8B" w14:textId="77777777" w:rsidR="00D0778A" w:rsidRDefault="00D0778A" w:rsidP="003861CA">
      <w:pPr>
        <w:ind w:firstLineChars="270" w:firstLine="567"/>
      </w:pPr>
      <w:r>
        <w:rPr>
          <w:rFonts w:hint="eastAsia"/>
        </w:rPr>
        <w:t>（五）新能源与智能汽车研发支持。支持取得重大技术突破的新能源与智能汽车产业关键核心技术研发项目（往年已取得相关支持的项目不予重复支持）。</w:t>
      </w:r>
    </w:p>
    <w:p w14:paraId="09E59DE6" w14:textId="34900E96" w:rsidR="003861CA" w:rsidRPr="00865354" w:rsidRDefault="00D0778A" w:rsidP="00865354">
      <w:pPr>
        <w:ind w:firstLineChars="270" w:firstLine="567"/>
      </w:pPr>
      <w:r>
        <w:rPr>
          <w:rFonts w:hint="eastAsia"/>
        </w:rPr>
        <w:t>（六）关键零部件支持。鼓励省内动力电池、氢燃料电池生产企业提升产品竞争力，加大与整车企业配套力度。申报企业动力电池和氢燃料电池</w:t>
      </w:r>
      <w:r>
        <w:t>2021年供货量应分别达到5GWh和10MW。</w:t>
      </w:r>
    </w:p>
    <w:p w14:paraId="11240A9A" w14:textId="77777777" w:rsidR="00D0778A" w:rsidRPr="001167DB" w:rsidRDefault="00D0778A" w:rsidP="00CA2130">
      <w:pPr>
        <w:pStyle w:val="a7"/>
        <w:numPr>
          <w:ilvl w:val="0"/>
          <w:numId w:val="9"/>
        </w:numPr>
        <w:ind w:firstLineChars="0"/>
        <w:outlineLvl w:val="1"/>
        <w:rPr>
          <w:b/>
          <w:sz w:val="24"/>
        </w:rPr>
      </w:pPr>
      <w:r w:rsidRPr="001167DB">
        <w:rPr>
          <w:rFonts w:hint="eastAsia"/>
          <w:b/>
          <w:sz w:val="24"/>
        </w:rPr>
        <w:t>新能源市场以高景气度迎接新年</w:t>
      </w:r>
    </w:p>
    <w:p w14:paraId="2EB769B9" w14:textId="77777777" w:rsidR="00D0778A" w:rsidRDefault="00D0778A" w:rsidP="003861CA">
      <w:pPr>
        <w:ind w:firstLineChars="202" w:firstLine="424"/>
      </w:pPr>
      <w:r>
        <w:rPr>
          <w:rFonts w:hint="eastAsia"/>
        </w:rPr>
        <w:t>中国新能源汽车产销分别达到</w:t>
      </w:r>
      <w:r>
        <w:t>302.3万辆和299万辆，新能源汽车产销占总体汽车产销的比例分别达到13%和12.7%。2021年11月，新能源汽车销量为45万辆。其中，纯电动汽车销量36.1万辆，同比增长110%；插电式混合动力汽车销量8.9万辆，同比增长170%。预计2022年中国电动汽车年销量将突破500万辆，2025年将达到至少700万辆，乐观估计900-1000万辆。到时中国电池装机量将达到600GWh，全球规模最大。2022-2025年中国新能源汽车市场将进入大量新车型、新品牌扎堆涌现的阶段</w:t>
      </w:r>
      <w:r>
        <w:rPr>
          <w:rFonts w:hint="eastAsia"/>
        </w:rPr>
        <w:t>，市场竞争将进入真正的大浪淘沙的阶段。</w:t>
      </w:r>
    </w:p>
    <w:p w14:paraId="6DC25BD4" w14:textId="69D6F75B" w:rsidR="001167DB" w:rsidRDefault="001167DB" w:rsidP="00CA2130">
      <w:pPr>
        <w:rPr>
          <w:rFonts w:cs="宋体"/>
          <w:b/>
          <w:bCs/>
          <w:i/>
          <w:iCs/>
        </w:rPr>
      </w:pPr>
    </w:p>
    <w:p w14:paraId="6958B63B" w14:textId="77777777" w:rsidR="00CA2130" w:rsidRPr="001167DB" w:rsidRDefault="00CA2130" w:rsidP="00CA2130">
      <w:pPr>
        <w:pStyle w:val="a7"/>
        <w:numPr>
          <w:ilvl w:val="0"/>
          <w:numId w:val="3"/>
        </w:numPr>
        <w:ind w:firstLineChars="0"/>
        <w:outlineLvl w:val="0"/>
        <w:rPr>
          <w:b/>
          <w:sz w:val="24"/>
        </w:rPr>
      </w:pPr>
      <w:r w:rsidRPr="001167DB">
        <w:rPr>
          <w:rFonts w:cs="宋体" w:hint="eastAsia"/>
          <w:b/>
          <w:bCs/>
          <w:sz w:val="24"/>
        </w:rPr>
        <w:t>跨国集团和国际市场</w:t>
      </w:r>
    </w:p>
    <w:p w14:paraId="02D3146A" w14:textId="77777777" w:rsidR="00D0778A" w:rsidRPr="001167DB" w:rsidRDefault="00D0778A" w:rsidP="00CA2130">
      <w:pPr>
        <w:pStyle w:val="a7"/>
        <w:numPr>
          <w:ilvl w:val="0"/>
          <w:numId w:val="11"/>
        </w:numPr>
        <w:ind w:firstLineChars="0"/>
        <w:outlineLvl w:val="1"/>
        <w:rPr>
          <w:b/>
          <w:sz w:val="24"/>
        </w:rPr>
      </w:pPr>
      <w:r w:rsidRPr="001167DB">
        <w:rPr>
          <w:b/>
          <w:sz w:val="24"/>
        </w:rPr>
        <w:t>2021年日本进口电动车销量增加近一倍</w:t>
      </w:r>
    </w:p>
    <w:p w14:paraId="76C2DAF4" w14:textId="77777777" w:rsidR="00D0778A" w:rsidRDefault="00D0778A" w:rsidP="003861CA">
      <w:pPr>
        <w:ind w:firstLineChars="202" w:firstLine="424"/>
      </w:pPr>
      <w:r>
        <w:rPr>
          <w:rFonts w:hint="eastAsia"/>
        </w:rPr>
        <w:t>此前很长一段时间，对于外国电动汽车制造商来说，日本一直是一个难以攻克的市场。但</w:t>
      </w:r>
      <w:r>
        <w:t>2021年，日本进口电动汽车的注册量增加了一倍以上，这对特斯拉等车企来说是一个令人鼓舞的迹象。</w:t>
      </w:r>
    </w:p>
    <w:p w14:paraId="0ECEFB44" w14:textId="6D113CD6" w:rsidR="003861CA" w:rsidRPr="00865354" w:rsidRDefault="00D0778A" w:rsidP="00865354">
      <w:pPr>
        <w:ind w:firstLineChars="202" w:firstLine="424"/>
      </w:pPr>
      <w:r>
        <w:t>1月11日，日本汽车进口协会表示，去年，日本从其他国家进口的电动汽车注册量总计8,610辆，较2020年的3,238辆同比大涨165%。该协会还表示，进口的油电混合动力汽车的销量从2020年的13,465辆增加到37,530辆。另外，日本进口的电动车占所有进口汽车的3.3%，同样高于2020年的1.3%。</w:t>
      </w:r>
    </w:p>
    <w:p w14:paraId="0B4EE875" w14:textId="77777777" w:rsidR="00D0778A" w:rsidRPr="00CA0823" w:rsidRDefault="00D0778A" w:rsidP="00CA2130">
      <w:pPr>
        <w:pStyle w:val="a7"/>
        <w:numPr>
          <w:ilvl w:val="0"/>
          <w:numId w:val="11"/>
        </w:numPr>
        <w:ind w:firstLineChars="0"/>
        <w:outlineLvl w:val="1"/>
        <w:rPr>
          <w:b/>
        </w:rPr>
      </w:pPr>
      <w:r w:rsidRPr="001167DB">
        <w:rPr>
          <w:b/>
          <w:sz w:val="24"/>
        </w:rPr>
        <w:t>AFS:2021年全球汽车因芯片短缺减产达1020万辆</w:t>
      </w:r>
    </w:p>
    <w:p w14:paraId="6D3895A9" w14:textId="77777777" w:rsidR="00D0778A" w:rsidRDefault="00D0778A" w:rsidP="001167DB">
      <w:pPr>
        <w:ind w:firstLineChars="202" w:firstLine="424"/>
      </w:pPr>
      <w:r>
        <w:t>AutoForecastSolutions（AFS）的数据显示，2021年，由于芯片短缺，全球汽车市场累计减产约为1020万辆。</w:t>
      </w:r>
    </w:p>
    <w:p w14:paraId="2ED26756" w14:textId="77777777" w:rsidR="00D0778A" w:rsidRDefault="00D0778A" w:rsidP="001167DB">
      <w:pPr>
        <w:ind w:firstLineChars="202" w:firstLine="424"/>
      </w:pPr>
      <w:r>
        <w:rPr>
          <w:rFonts w:hint="eastAsia"/>
        </w:rPr>
        <w:t>亚洲地区减产超过</w:t>
      </w:r>
      <w:r>
        <w:t>360万辆，其中，中国减产约为198万辆，亚洲其他地区的减产量约为174万辆；北美地区减产约310万辆；欧洲减产近300万辆。</w:t>
      </w:r>
    </w:p>
    <w:p w14:paraId="253BD888" w14:textId="36A3D4D7" w:rsidR="001167DB" w:rsidRPr="00865354" w:rsidRDefault="00D0778A" w:rsidP="00865354">
      <w:pPr>
        <w:ind w:firstLineChars="202" w:firstLine="424"/>
      </w:pPr>
      <w:r>
        <w:t>AFS预计，2022年全球汽车市场因芯片短缺将累计减产76.77万辆。</w:t>
      </w:r>
    </w:p>
    <w:p w14:paraId="0101E5E1" w14:textId="77777777" w:rsidR="00D0778A" w:rsidRPr="00CA0823" w:rsidRDefault="00D0778A" w:rsidP="00CA2130">
      <w:pPr>
        <w:pStyle w:val="a7"/>
        <w:numPr>
          <w:ilvl w:val="0"/>
          <w:numId w:val="11"/>
        </w:numPr>
        <w:ind w:firstLineChars="0"/>
        <w:outlineLvl w:val="1"/>
        <w:rPr>
          <w:b/>
        </w:rPr>
      </w:pPr>
      <w:r w:rsidRPr="001167DB">
        <w:rPr>
          <w:b/>
          <w:sz w:val="24"/>
        </w:rPr>
        <w:t>LG将与本田投34亿美元在美建40GWh电池厂</w:t>
      </w:r>
    </w:p>
    <w:p w14:paraId="588E541B" w14:textId="7C0F09CD" w:rsidR="001167DB" w:rsidRPr="00865354" w:rsidRDefault="00D0778A" w:rsidP="00865354">
      <w:pPr>
        <w:ind w:firstLineChars="270" w:firstLine="567"/>
      </w:pPr>
      <w:r w:rsidRPr="001A3CA0">
        <w:t>LG新能源计划与本田汽车在美国成立一家合资公司，双方将共同投资34亿美元，新建一座年产能为40GWh的电池工厂。韩媒没有披露工厂选址、何时投产等具体细节。</w:t>
      </w:r>
    </w:p>
    <w:p w14:paraId="1CB172EC" w14:textId="77777777" w:rsidR="00D0778A" w:rsidRPr="001167DB" w:rsidRDefault="00D0778A" w:rsidP="00CA2130">
      <w:pPr>
        <w:pStyle w:val="a7"/>
        <w:numPr>
          <w:ilvl w:val="0"/>
          <w:numId w:val="11"/>
        </w:numPr>
        <w:ind w:firstLineChars="0"/>
        <w:outlineLvl w:val="1"/>
        <w:rPr>
          <w:b/>
          <w:sz w:val="24"/>
        </w:rPr>
      </w:pPr>
      <w:r w:rsidRPr="001167DB">
        <w:rPr>
          <w:b/>
          <w:sz w:val="24"/>
        </w:rPr>
        <w:t>LG新能源从澳大利亚矿商购买70万干吨锂辉石</w:t>
      </w:r>
    </w:p>
    <w:p w14:paraId="09FAB901" w14:textId="01AB8021" w:rsidR="001167DB" w:rsidRPr="00865354" w:rsidRDefault="00D0778A" w:rsidP="00865354">
      <w:pPr>
        <w:ind w:firstLineChars="202" w:firstLine="424"/>
      </w:pPr>
      <w:r>
        <w:rPr>
          <w:rFonts w:hint="eastAsia"/>
        </w:rPr>
        <w:t>韩国顶级电池制造商</w:t>
      </w:r>
      <w:r>
        <w:t>LG新能源已经签订了一项合同，从澳大利亚矿商LiontownResources购买70万干吨的锂辉石精矿。这是在电池材料需求不断增加、价格不断上涨的情况下，LG新能源为了确保电动汽车电池关键原材料的稳定供应而采取的先发制人措施。</w:t>
      </w:r>
    </w:p>
    <w:p w14:paraId="7FE564C5" w14:textId="77777777" w:rsidR="00D0778A" w:rsidRPr="001167DB" w:rsidRDefault="00D0778A" w:rsidP="00CA2130">
      <w:pPr>
        <w:pStyle w:val="a7"/>
        <w:numPr>
          <w:ilvl w:val="0"/>
          <w:numId w:val="11"/>
        </w:numPr>
        <w:ind w:firstLineChars="0"/>
        <w:outlineLvl w:val="1"/>
        <w:rPr>
          <w:b/>
          <w:sz w:val="24"/>
        </w:rPr>
      </w:pPr>
      <w:r w:rsidRPr="001167DB">
        <w:rPr>
          <w:b/>
          <w:sz w:val="24"/>
        </w:rPr>
        <w:t>LG新能源或与本田在美国建电池合资企业</w:t>
      </w:r>
    </w:p>
    <w:p w14:paraId="1E57DA25" w14:textId="77777777" w:rsidR="00D0778A" w:rsidRDefault="00D0778A" w:rsidP="001167DB">
      <w:pPr>
        <w:ind w:firstLineChars="202" w:firstLine="424"/>
      </w:pPr>
      <w:r>
        <w:t>韩国电池制造商LG新能源（LGEnergySolution或LGES）计划与日本汽车制造商本田汽车在美国建设电池合资企业。</w:t>
      </w:r>
    </w:p>
    <w:p w14:paraId="2E4C6D3A" w14:textId="54389789" w:rsidR="001167DB" w:rsidRPr="00865354" w:rsidRDefault="00D0778A" w:rsidP="00865354">
      <w:pPr>
        <w:ind w:firstLineChars="202" w:firstLine="424"/>
      </w:pPr>
      <w:r>
        <w:rPr>
          <w:rFonts w:hint="eastAsia"/>
        </w:rPr>
        <w:t>《每日经济新闻》称，有行业知情人士表示，</w:t>
      </w:r>
      <w:r>
        <w:t>LGES和本田的电池合资企业可能耗资高达4万亿韩元（34亿美元），电池的年产能最高可达40GWh，足以为60万辆电动汽车提供电池。但是关于合资公司何时建立以及何时开始运营等细节，该报道并没有给出更多细节。</w:t>
      </w:r>
    </w:p>
    <w:p w14:paraId="785E8725" w14:textId="77777777" w:rsidR="00D0778A" w:rsidRPr="001167DB" w:rsidRDefault="00D0778A" w:rsidP="00CA2130">
      <w:pPr>
        <w:pStyle w:val="a7"/>
        <w:numPr>
          <w:ilvl w:val="0"/>
          <w:numId w:val="11"/>
        </w:numPr>
        <w:ind w:firstLineChars="0"/>
        <w:outlineLvl w:val="1"/>
        <w:rPr>
          <w:b/>
          <w:sz w:val="24"/>
        </w:rPr>
      </w:pPr>
      <w:r w:rsidRPr="001167DB">
        <w:rPr>
          <w:b/>
          <w:sz w:val="24"/>
        </w:rPr>
        <w:t>LG新能源拟26.7亿在韩建6万吨NCMA正极材料工厂</w:t>
      </w:r>
    </w:p>
    <w:p w14:paraId="4E196CC0" w14:textId="325B5B1C" w:rsidR="001167DB" w:rsidRPr="00865354" w:rsidRDefault="00D0778A" w:rsidP="00865354">
      <w:pPr>
        <w:ind w:firstLineChars="202" w:firstLine="424"/>
      </w:pPr>
      <w:r w:rsidRPr="008B5D6F">
        <w:t>1月11日，LG新能源宣布，将在2025年前投资5000亿韩元(约合26.7亿元人民币)，在距韩国首尔东南260公里的工业城市龟尾建设一家正极材料工厂。</w:t>
      </w:r>
    </w:p>
    <w:p w14:paraId="1E822CEA" w14:textId="77777777" w:rsidR="00D0778A" w:rsidRPr="001167DB" w:rsidRDefault="00D0778A" w:rsidP="00CA2130">
      <w:pPr>
        <w:pStyle w:val="a7"/>
        <w:numPr>
          <w:ilvl w:val="0"/>
          <w:numId w:val="11"/>
        </w:numPr>
        <w:ind w:firstLineChars="0"/>
        <w:outlineLvl w:val="1"/>
        <w:rPr>
          <w:b/>
          <w:sz w:val="24"/>
        </w:rPr>
      </w:pPr>
      <w:r w:rsidRPr="001167DB">
        <w:rPr>
          <w:b/>
          <w:sz w:val="24"/>
        </w:rPr>
        <w:t>Lucid电动车公司计划2026年前在沙特建厂</w:t>
      </w:r>
    </w:p>
    <w:p w14:paraId="109E1191" w14:textId="55A4ECEF" w:rsidR="001167DB" w:rsidRPr="00865354" w:rsidRDefault="00D0778A" w:rsidP="00865354">
      <w:pPr>
        <w:ind w:firstLineChars="202" w:firstLine="424"/>
      </w:pPr>
      <w:r w:rsidRPr="000F07BA">
        <w:rPr>
          <w:rFonts w:hint="eastAsia"/>
        </w:rPr>
        <w:t>电动汽车新贵</w:t>
      </w:r>
      <w:r w:rsidRPr="000F07BA">
        <w:t>Lucid计划在2025年或2026年之前在沙特阿拉伯建立一家电动车工厂，并正在与沙特政府部门就细节进行谈判。此前消息称，Lucid正在与沙特主权财富基金PIF谈判，计划在红海城市吉达附近建设一家电动汽车工厂。PIF为Lucid的大股东，将为这座位于阿卜杜拉国王经济城的工厂建设提供大部分资金，双方还就在沙特西北部规划中的新未来城（Neom）建设工厂展开了交流。</w:t>
      </w:r>
    </w:p>
    <w:p w14:paraId="7D7DFB56"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宝马集团</w:t>
      </w:r>
      <w:r w:rsidRPr="001167DB">
        <w:rPr>
          <w:b/>
          <w:sz w:val="24"/>
        </w:rPr>
        <w:t>2021年全球销量为252万辆</w:t>
      </w:r>
    </w:p>
    <w:p w14:paraId="46C00D8A" w14:textId="64C4DDC4" w:rsidR="001167DB" w:rsidRPr="00865354" w:rsidRDefault="00D0778A" w:rsidP="00865354">
      <w:pPr>
        <w:ind w:firstLineChars="202" w:firstLine="424"/>
      </w:pPr>
      <w:r>
        <w:t>2021年，宝马集团向全球客户交付了252万辆宝马、MINI和劳斯莱斯汽车，同比增长8.4%。其中，宝马品牌的销量创历史新高，达到221万辆，同比增长9.1%，成为全球高端车市场的领军品牌。此外，宝马集团纯电动汽车的销量同比增长133.2%，达到10.3万辆。</w:t>
      </w:r>
    </w:p>
    <w:p w14:paraId="0685A1D9"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奔驰计划自主生产下一代电动传动系统</w:t>
      </w:r>
    </w:p>
    <w:p w14:paraId="22891FB7" w14:textId="72E4A8FC" w:rsidR="001167DB" w:rsidRPr="00865354" w:rsidRDefault="00D0778A" w:rsidP="00865354">
      <w:pPr>
        <w:ind w:firstLineChars="202" w:firstLine="424"/>
      </w:pPr>
      <w:r>
        <w:rPr>
          <w:rFonts w:hint="eastAsia"/>
        </w:rPr>
        <w:t>戴姆勒研发主管</w:t>
      </w:r>
      <w:r>
        <w:t>MarkusSchaefer表示，奔驰计划从2024年开始完全自主地为其新的MMA和MB.EA电动汽车架构打造完整的电动传动系统。“为了实现这一目标，我们正在显著提高附加值的深度，并将从第三方采购转向内部生产。”</w:t>
      </w:r>
    </w:p>
    <w:p w14:paraId="79722CE7"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大众集团</w:t>
      </w:r>
      <w:r w:rsidRPr="001167DB">
        <w:rPr>
          <w:b/>
          <w:sz w:val="24"/>
        </w:rPr>
        <w:t>2021年销量888.2万辆，纯电动车销量45.3万辆</w:t>
      </w:r>
    </w:p>
    <w:p w14:paraId="2C319819" w14:textId="77777777" w:rsidR="00D0778A" w:rsidRDefault="00D0778A" w:rsidP="001167DB">
      <w:pPr>
        <w:ind w:firstLineChars="202" w:firstLine="424"/>
      </w:pPr>
      <w:r>
        <w:t>1月12日，大众集团公布了2021年在全球的销量数据。大众集团2021年全球销量888.2万辆，同比减少4.5%。</w:t>
      </w:r>
    </w:p>
    <w:p w14:paraId="5819C627" w14:textId="7B1DE7B1" w:rsidR="001167DB" w:rsidRPr="00865354" w:rsidRDefault="00D0778A" w:rsidP="00CA2130">
      <w:r>
        <w:t>2021年，大众集团纯电动车销量同比增长了约一倍，至45.29万辆，电动车销量份额从去年的2.5%上升到现在的5.1%。</w:t>
      </w:r>
    </w:p>
    <w:p w14:paraId="160E00BC"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福特市值首次超越</w:t>
      </w:r>
      <w:r w:rsidRPr="001167DB">
        <w:rPr>
          <w:b/>
          <w:sz w:val="24"/>
        </w:rPr>
        <w:t>1000亿美元</w:t>
      </w:r>
    </w:p>
    <w:p w14:paraId="323EE40B" w14:textId="77777777" w:rsidR="00D0778A" w:rsidRDefault="00D0778A" w:rsidP="001167DB">
      <w:pPr>
        <w:ind w:firstLineChars="202" w:firstLine="424"/>
      </w:pPr>
      <w:r>
        <w:t>1月13日，福特汽车公司的市值首次突破1000亿美元。当天，福特汽车公司股价盘中一度上涨5.7%至25.87美元，市值约1034亿美元，创下20多年来的新高。</w:t>
      </w:r>
    </w:p>
    <w:p w14:paraId="546D6399" w14:textId="3C20E262" w:rsidR="001167DB" w:rsidRPr="00865354" w:rsidRDefault="00D0778A" w:rsidP="00CA2130">
      <w:r>
        <w:rPr>
          <w:rFonts w:hint="eastAsia"/>
        </w:rPr>
        <w:t>目前，福特市值已超过其百年竞争对手通用汽车及电动汽车新势力</w:t>
      </w:r>
      <w:r>
        <w:t>Rivian，后两者当前的市值分别约为886.1亿美元和778亿美元。</w:t>
      </w:r>
    </w:p>
    <w:p w14:paraId="646A2606" w14:textId="7E5C78E1" w:rsidR="00D0778A" w:rsidRPr="001167DB" w:rsidRDefault="00D0778A" w:rsidP="00CA2130">
      <w:pPr>
        <w:pStyle w:val="a7"/>
        <w:numPr>
          <w:ilvl w:val="0"/>
          <w:numId w:val="11"/>
        </w:numPr>
        <w:ind w:firstLineChars="0"/>
        <w:outlineLvl w:val="1"/>
        <w:rPr>
          <w:b/>
          <w:sz w:val="24"/>
        </w:rPr>
      </w:pPr>
      <w:r w:rsidRPr="001167DB">
        <w:rPr>
          <w:b/>
          <w:sz w:val="24"/>
        </w:rPr>
        <w:t>现代起亚2021年全球销量</w:t>
      </w:r>
      <w:r w:rsidR="00E673CC" w:rsidRPr="001167DB">
        <w:rPr>
          <w:rFonts w:hint="eastAsia"/>
          <w:b/>
          <w:sz w:val="24"/>
        </w:rPr>
        <w:t>共</w:t>
      </w:r>
      <w:r w:rsidR="00E673CC" w:rsidRPr="001167DB">
        <w:rPr>
          <w:b/>
          <w:sz w:val="24"/>
        </w:rPr>
        <w:t>6668037辆</w:t>
      </w:r>
    </w:p>
    <w:p w14:paraId="3617642A" w14:textId="6359D785" w:rsidR="001167DB" w:rsidRPr="00865354" w:rsidRDefault="00D0778A" w:rsidP="00865354">
      <w:pPr>
        <w:ind w:firstLineChars="202" w:firstLine="424"/>
      </w:pPr>
      <w:r>
        <w:rPr>
          <w:rFonts w:hint="eastAsia"/>
        </w:rPr>
        <w:t>现代起亚公布了</w:t>
      </w:r>
      <w:r>
        <w:t>2021年全球销量，其中现代汽车2021年度全球销量依然达到了3890981辆，相比2020年增长3.9%，并将2022年全球销量目标定为4323000辆。而起亚2021年度全球销量为2777056辆，相比2020年增长6.5%，2022年起亚将全球销量目标定为3150000辆。2021年，现代汽车在韩国以外的市场销量达到了3164143辆，相比2020年增长了7%。2022年，现代汽车将全球销量目标定为4323000辆，其中韩国以外市场销量计划为3591000辆，韩国本土销量计划为732000辆。</w:t>
      </w:r>
    </w:p>
    <w:p w14:paraId="1B448B63"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解决充电难</w:t>
      </w:r>
      <w:r w:rsidRPr="001167DB">
        <w:rPr>
          <w:b/>
          <w:sz w:val="24"/>
        </w:rPr>
        <w:t>英国在灯柱内安装充电装置</w:t>
      </w:r>
    </w:p>
    <w:p w14:paraId="2FA42344" w14:textId="77777777" w:rsidR="00D0778A" w:rsidRDefault="00D0778A" w:rsidP="001167DB">
      <w:pPr>
        <w:ind w:firstLineChars="202" w:firstLine="424"/>
      </w:pPr>
      <w:r>
        <w:rPr>
          <w:rFonts w:hint="eastAsia"/>
        </w:rPr>
        <w:t>西门子在英国伦敦西北部的萨瑟兰街为</w:t>
      </w:r>
      <w:r>
        <w:t>24根灯柱安装了充电功率为5.5kW的新能源汽车充电装置，方便附近居民使用灯柱充电。在中国，北京、广州等地区已经有了这样的充电装置。</w:t>
      </w:r>
    </w:p>
    <w:p w14:paraId="047F057C" w14:textId="7A573E19" w:rsidR="001167DB" w:rsidRPr="00865354" w:rsidRDefault="00D0778A" w:rsidP="00865354">
      <w:pPr>
        <w:ind w:firstLineChars="202" w:firstLine="424"/>
      </w:pPr>
      <w:r>
        <w:rPr>
          <w:rFonts w:hint="eastAsia"/>
        </w:rPr>
        <w:t>近日，西门子为伦敦萨瑟兰街</w:t>
      </w:r>
      <w:r>
        <w:t>800米长路段的24根灯柱安装了新能源汽车充电装置，该公司表示，伦敦威斯敏斯特已新增296个此类充电装置。随着纯电动汽车销量的增加，这种设备的数量还会继续增加。</w:t>
      </w:r>
    </w:p>
    <w:p w14:paraId="48D4D666"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雷诺</w:t>
      </w:r>
      <w:r w:rsidRPr="001167DB">
        <w:rPr>
          <w:b/>
          <w:sz w:val="24"/>
        </w:rPr>
        <w:t>:2030年前在欧洲实现100%纯电动化</w:t>
      </w:r>
    </w:p>
    <w:p w14:paraId="100E8284" w14:textId="56AAF4E0" w:rsidR="001167DB" w:rsidRPr="00865354" w:rsidRDefault="00D0778A" w:rsidP="00865354">
      <w:pPr>
        <w:ind w:firstLineChars="202" w:firstLine="424"/>
      </w:pPr>
      <w:r>
        <w:rPr>
          <w:rFonts w:hint="eastAsia"/>
        </w:rPr>
        <w:t>从相关渠道获得了法国雷诺汽车的最新发展规划，该公司表示，将在</w:t>
      </w:r>
      <w:r>
        <w:t>2030年之前，实现在欧洲地区所销售汽车产品的100%纯电动化，这一目标与大众、菲亚特和标致等欧洲品牌的发展规划相似。</w:t>
      </w:r>
    </w:p>
    <w:p w14:paraId="276D6294"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美国</w:t>
      </w:r>
      <w:r w:rsidRPr="001167DB">
        <w:rPr>
          <w:b/>
          <w:sz w:val="24"/>
        </w:rPr>
        <w:t>2021销售新车1500万辆同比增长3.3%</w:t>
      </w:r>
    </w:p>
    <w:p w14:paraId="2A6B9026" w14:textId="77777777" w:rsidR="00D0778A" w:rsidRDefault="00D0778A" w:rsidP="001167DB">
      <w:pPr>
        <w:ind w:firstLineChars="202" w:firstLine="424"/>
      </w:pPr>
      <w:r>
        <w:t>2021年，美国轻型车年销量略高于1500万辆，与2020年同比增长3.3%。而在没有冠状病毒也没有芯片短缺的2019年，美国市场轻型车的年销量达到了1710万辆。</w:t>
      </w:r>
    </w:p>
    <w:p w14:paraId="19328DEA" w14:textId="03E51A91" w:rsidR="001167DB" w:rsidRPr="00865354" w:rsidRDefault="00D0778A" w:rsidP="00CA2130">
      <w:r>
        <w:rPr>
          <w:rFonts w:hint="eastAsia"/>
        </w:rPr>
        <w:t>尤其是最后一个月的销量很不理想，由于疫情再度来袭，外加之前一直没有解决的供应链和产能问题，丰田、本田、现代和起亚在美国的销量连续第五个月下跌。第四季度，美国新车总销量下降了</w:t>
      </w:r>
      <w:r>
        <w:t>21%。根据IHSMARIT预测，2022年美国销量也不会强力反弹，大约1550万辆，增长2.6%。</w:t>
      </w:r>
    </w:p>
    <w:p w14:paraId="3747DC65"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三菱扶桑卡车</w:t>
      </w:r>
      <w:r w:rsidRPr="001167DB">
        <w:rPr>
          <w:b/>
          <w:sz w:val="24"/>
        </w:rPr>
        <w:t>即将以电动身份推向全球市场</w:t>
      </w:r>
    </w:p>
    <w:p w14:paraId="3BD451BB" w14:textId="55243183" w:rsidR="001167DB" w:rsidRPr="00865354" w:rsidRDefault="00D0778A" w:rsidP="00865354">
      <w:pPr>
        <w:ind w:firstLineChars="202" w:firstLine="424"/>
      </w:pPr>
      <w:r>
        <w:rPr>
          <w:rFonts w:hint="eastAsia"/>
        </w:rPr>
        <w:t>在绝大多数国内读者的印象里，来自日本的三菱扶桑卡车已经消失许久了。诚然，在被戴姆勒集团收购之后，三菱扶桑的业务就逐渐萎缩了。目前，三菱扶桑这个品牌主要在日本本土、东南亚等零星的亚洲市场销售产品。而其旗下的扶桑</w:t>
      </w:r>
      <w:r>
        <w:t>SuperGreat、Shogun等车型也都基本基于戴姆勒的全球产品框架打造。</w:t>
      </w:r>
    </w:p>
    <w:p w14:paraId="527C2A97" w14:textId="77777777" w:rsidR="00D0778A" w:rsidRPr="004E01BB" w:rsidRDefault="00D0778A" w:rsidP="00CA2130">
      <w:pPr>
        <w:pStyle w:val="a7"/>
        <w:numPr>
          <w:ilvl w:val="0"/>
          <w:numId w:val="11"/>
        </w:numPr>
        <w:ind w:firstLineChars="0"/>
        <w:outlineLvl w:val="1"/>
        <w:rPr>
          <w:b/>
        </w:rPr>
      </w:pPr>
      <w:r w:rsidRPr="001167DB">
        <w:rPr>
          <w:rFonts w:hint="eastAsia"/>
          <w:b/>
          <w:sz w:val="24"/>
        </w:rPr>
        <w:t>斯柯达</w:t>
      </w:r>
      <w:r w:rsidRPr="001167DB">
        <w:rPr>
          <w:b/>
          <w:sz w:val="24"/>
        </w:rPr>
        <w:t>2021年全球售出87.8万辆</w:t>
      </w:r>
    </w:p>
    <w:p w14:paraId="638282FB" w14:textId="29762A3B" w:rsidR="001167DB" w:rsidRPr="00865354" w:rsidRDefault="00D0778A" w:rsidP="00865354">
      <w:pPr>
        <w:ind w:firstLineChars="202" w:firstLine="424"/>
      </w:pPr>
      <w:r>
        <w:t>1月11日，大众集团旗下斯柯达品牌公布了2021年全球销量数据。在疫情大流行和芯片短缺的影响下，去年斯柯达汽车在全球范围内共交付878,200辆汽车，同比下降12.6%。得益于新款Kushaq车型，斯柯达在印度取得了显著的销量增长。另外，纯电动EnyaqiV凭借45,000辆的销量在市场上取得了良好的开端。斯柯达预计，到2022年下半年，半导体供应状况将逐渐好转。</w:t>
      </w:r>
    </w:p>
    <w:p w14:paraId="49CA9135"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台积电</w:t>
      </w:r>
      <w:r w:rsidRPr="001167DB">
        <w:rPr>
          <w:b/>
          <w:sz w:val="24"/>
        </w:rPr>
        <w:t>2021年四季度净利润60.11亿美元</w:t>
      </w:r>
    </w:p>
    <w:p w14:paraId="5F4B057A" w14:textId="0570B831" w:rsidR="001167DB" w:rsidRPr="00865354" w:rsidRDefault="00D0778A" w:rsidP="00865354">
      <w:pPr>
        <w:ind w:firstLineChars="202" w:firstLine="424"/>
      </w:pPr>
      <w:r w:rsidRPr="008F37C4">
        <w:t>1月13日，台积电发布了截至12月31日的2021财年第四季度财报。财报显示，台积电第四季度合并营收为4381.89亿新台币（约合158.46亿美元），较上年同期增长21.2%，连续第六个季度创纪录；净利润为1662.32亿新台币（约合60.11亿美元），较上年同期增长16.4%。</w:t>
      </w:r>
    </w:p>
    <w:p w14:paraId="6A945A3D"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特斯拉柏林工厂获准生产</w:t>
      </w:r>
      <w:r w:rsidRPr="001167DB">
        <w:rPr>
          <w:b/>
          <w:sz w:val="24"/>
        </w:rPr>
        <w:t>2000辆测试用车车身</w:t>
      </w:r>
    </w:p>
    <w:p w14:paraId="4006305D" w14:textId="3AE02532" w:rsidR="001167DB" w:rsidRPr="00865354" w:rsidRDefault="00D0778A" w:rsidP="00865354">
      <w:pPr>
        <w:ind w:firstLineChars="202" w:firstLine="424"/>
      </w:pPr>
      <w:r w:rsidRPr="00B41026">
        <w:rPr>
          <w:rFonts w:hint="eastAsia"/>
        </w:rPr>
        <w:t>特斯拉获得德国勃兰登堡州环境部</w:t>
      </w:r>
      <w:r w:rsidRPr="00B41026">
        <w:t>(BrandenburgStateEnvironmentdepartment)的特别批准，可以在柏林超级工厂获得最终批准前，先生产2000辆ModelY车身。特斯拉获批每周可生产500辆ModelY车身，因此，他们至少需要4周的时间来生产这些汽车车身。</w:t>
      </w:r>
    </w:p>
    <w:p w14:paraId="345FEC7F" w14:textId="77777777" w:rsidR="00D0778A" w:rsidRPr="000F5066" w:rsidRDefault="00D0778A" w:rsidP="00CA2130">
      <w:pPr>
        <w:pStyle w:val="a7"/>
        <w:numPr>
          <w:ilvl w:val="0"/>
          <w:numId w:val="11"/>
        </w:numPr>
        <w:ind w:firstLineChars="0"/>
        <w:outlineLvl w:val="1"/>
        <w:rPr>
          <w:b/>
        </w:rPr>
      </w:pPr>
      <w:r w:rsidRPr="001167DB">
        <w:rPr>
          <w:rFonts w:hint="eastAsia"/>
          <w:b/>
          <w:sz w:val="24"/>
        </w:rPr>
        <w:t>特斯拉首次与美国公司签订镍供应协议</w:t>
      </w:r>
    </w:p>
    <w:p w14:paraId="5F00A2C5" w14:textId="77777777" w:rsidR="00D0778A" w:rsidRDefault="00D0778A" w:rsidP="001167DB">
      <w:pPr>
        <w:ind w:firstLineChars="202" w:firstLine="424"/>
      </w:pPr>
      <w:r>
        <w:rPr>
          <w:rFonts w:hint="eastAsia"/>
        </w:rPr>
        <w:t>特斯拉公司签署了其在美国的首个镍供应协议，选择了</w:t>
      </w:r>
      <w:r>
        <w:t>TalonMetalsCorp在明尼苏达州的Tamarack矿项目，因为该供应商选择以一种更环保的方式生产电动汽车电池金属。Talon已经与力拓矿业集团成立了一个合资企业，定于2026年开业。</w:t>
      </w:r>
    </w:p>
    <w:p w14:paraId="477B6BC1" w14:textId="0ED7F583" w:rsidR="001167DB" w:rsidRPr="00865354" w:rsidRDefault="00D0778A" w:rsidP="00865354">
      <w:pPr>
        <w:ind w:firstLineChars="202" w:firstLine="424"/>
      </w:pPr>
      <w:r>
        <w:rPr>
          <w:rFonts w:hint="eastAsia"/>
        </w:rPr>
        <w:t>未来</w:t>
      </w:r>
      <w:r>
        <w:t>10年，随着电动汽车成为主流，镍材料的需求预计将大幅增长。镍增强了电池负极的能量存储能力，从而延长了电动汽车的续航里程。此前2020年，特斯拉首席执行官埃隆·马斯克曾呼吁采矿业以“对环境更友好的方式”生产更多镍。马斯克还曾嘲笑美国的镍生产“客观上很差劲”。通过从Talon在明尼苏达州的项目采购，马斯克为特斯拉在得州和内华达州的电池工厂确保了一个关键的美国本土金属供应来源。去年，特斯拉曾和必和必拓在澳大利亚和新喀里多尼亚签署了镍供应协议。</w:t>
      </w:r>
    </w:p>
    <w:p w14:paraId="6CBDAE75" w14:textId="77777777" w:rsidR="00D0778A" w:rsidRPr="001167DB" w:rsidRDefault="00D0778A" w:rsidP="00A11666">
      <w:pPr>
        <w:pStyle w:val="a7"/>
        <w:numPr>
          <w:ilvl w:val="0"/>
          <w:numId w:val="11"/>
        </w:numPr>
        <w:ind w:firstLineChars="0"/>
        <w:outlineLvl w:val="1"/>
        <w:rPr>
          <w:b/>
          <w:sz w:val="24"/>
        </w:rPr>
      </w:pPr>
      <w:r w:rsidRPr="001167DB">
        <w:rPr>
          <w:rFonts w:hint="eastAsia"/>
          <w:b/>
          <w:sz w:val="24"/>
        </w:rPr>
        <w:t>通用汽车将推出二手车销售网站</w:t>
      </w:r>
    </w:p>
    <w:p w14:paraId="1583D2B1" w14:textId="446DB8BA" w:rsidR="001167DB" w:rsidRPr="00865354" w:rsidRDefault="00D0778A" w:rsidP="00865354">
      <w:pPr>
        <w:ind w:firstLineChars="202" w:firstLine="424"/>
      </w:pPr>
      <w:r w:rsidRPr="00BB7631">
        <w:t>通用汽车正在推出一个名为CarBravo的新网站，该网站将帮助在美通用汽车经销商在网上销售二手车，新网站将直接与Carvana和其他在过去两年内从事在线销售的零售商竞争。</w:t>
      </w:r>
    </w:p>
    <w:p w14:paraId="04F76020" w14:textId="77777777" w:rsidR="00D0778A" w:rsidRPr="001167DB" w:rsidRDefault="00D0778A" w:rsidP="00CA2130">
      <w:pPr>
        <w:pStyle w:val="a7"/>
        <w:numPr>
          <w:ilvl w:val="0"/>
          <w:numId w:val="11"/>
        </w:numPr>
        <w:ind w:firstLineChars="0"/>
        <w:outlineLvl w:val="1"/>
        <w:rPr>
          <w:b/>
          <w:sz w:val="24"/>
        </w:rPr>
      </w:pPr>
      <w:r w:rsidRPr="001167DB">
        <w:rPr>
          <w:rFonts w:hint="eastAsia"/>
          <w:b/>
          <w:sz w:val="24"/>
        </w:rPr>
        <w:t>新版推送</w:t>
      </w:r>
      <w:r w:rsidRPr="001167DB">
        <w:rPr>
          <w:b/>
          <w:sz w:val="24"/>
        </w:rPr>
        <w:t>特斯拉全自动驾驶分多种模式</w:t>
      </w:r>
    </w:p>
    <w:p w14:paraId="3293CC48" w14:textId="59DDCE45" w:rsidR="00D0778A" w:rsidRPr="00865354" w:rsidRDefault="00D0778A" w:rsidP="00865354">
      <w:pPr>
        <w:ind w:firstLineChars="202" w:firstLine="424"/>
      </w:pPr>
      <w:r>
        <w:rPr>
          <w:rFonts w:hint="eastAsia"/>
        </w:rPr>
        <w:t>特斯拉已经为海外车主推送</w:t>
      </w:r>
      <w:r>
        <w:t>FSD（Beta）版本，作为特斯拉全自动驾驶，已经能够实现部分路段下，脱手脱脚驾驶。据悉，特斯拉的全自动驾驶(FSD)测试版，可让车主从三种驾驶“配置文件”中进行选择。</w:t>
      </w:r>
    </w:p>
    <w:sectPr w:rsidR="00D0778A" w:rsidRPr="00865354" w:rsidSect="0095525C">
      <w:headerReference w:type="default" r:id="rId18"/>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B817" w14:textId="77777777" w:rsidR="00E14441" w:rsidRDefault="00E14441" w:rsidP="00CA2130">
      <w:r>
        <w:separator/>
      </w:r>
    </w:p>
  </w:endnote>
  <w:endnote w:type="continuationSeparator" w:id="0">
    <w:p w14:paraId="016FE047" w14:textId="77777777" w:rsidR="00E14441" w:rsidRDefault="00E14441" w:rsidP="00CA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8918" w14:textId="77777777" w:rsidR="00E14441" w:rsidRDefault="00E14441" w:rsidP="00CA2130">
      <w:r>
        <w:separator/>
      </w:r>
    </w:p>
  </w:footnote>
  <w:footnote w:type="continuationSeparator" w:id="0">
    <w:p w14:paraId="111AA33C" w14:textId="77777777" w:rsidR="00E14441" w:rsidRDefault="00E14441" w:rsidP="00CA2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AE15" w14:textId="22DCD3C8" w:rsidR="0095525C" w:rsidRDefault="0095525C" w:rsidP="0095525C">
    <w:pPr>
      <w:pStyle w:val="a3"/>
      <w:jc w:val="left"/>
    </w:pPr>
    <w:r>
      <w:rPr>
        <w:noProof/>
      </w:rPr>
      <w:drawing>
        <wp:inline distT="0" distB="0" distL="0" distR="0" wp14:anchorId="0CB577DA" wp14:editId="28C391A8">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3431EC"/>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7"/>
  </w:num>
  <w:num w:numId="4">
    <w:abstractNumId w:val="3"/>
  </w:num>
  <w:num w:numId="5">
    <w:abstractNumId w:val="2"/>
  </w:num>
  <w:num w:numId="6">
    <w:abstractNumId w:val="4"/>
  </w:num>
  <w:num w:numId="7">
    <w:abstractNumId w:val="11"/>
  </w:num>
  <w:num w:numId="8">
    <w:abstractNumId w:val="10"/>
  </w:num>
  <w:num w:numId="9">
    <w:abstractNumId w:val="8"/>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A98"/>
    <w:rsid w:val="001103D5"/>
    <w:rsid w:val="001167DB"/>
    <w:rsid w:val="001B6B78"/>
    <w:rsid w:val="002151F7"/>
    <w:rsid w:val="002D51D8"/>
    <w:rsid w:val="003861CA"/>
    <w:rsid w:val="004274D8"/>
    <w:rsid w:val="00433CBA"/>
    <w:rsid w:val="00641BC9"/>
    <w:rsid w:val="0066019C"/>
    <w:rsid w:val="00674348"/>
    <w:rsid w:val="006C4220"/>
    <w:rsid w:val="00721EBA"/>
    <w:rsid w:val="00746E35"/>
    <w:rsid w:val="00775A07"/>
    <w:rsid w:val="00794BAD"/>
    <w:rsid w:val="0081375E"/>
    <w:rsid w:val="00865354"/>
    <w:rsid w:val="008729ED"/>
    <w:rsid w:val="008C4A98"/>
    <w:rsid w:val="008E54E6"/>
    <w:rsid w:val="008F1108"/>
    <w:rsid w:val="0090242E"/>
    <w:rsid w:val="0095525C"/>
    <w:rsid w:val="0097304A"/>
    <w:rsid w:val="00997A29"/>
    <w:rsid w:val="00A11666"/>
    <w:rsid w:val="00B04667"/>
    <w:rsid w:val="00B60469"/>
    <w:rsid w:val="00B73519"/>
    <w:rsid w:val="00CA2130"/>
    <w:rsid w:val="00D0778A"/>
    <w:rsid w:val="00D17871"/>
    <w:rsid w:val="00D17BFE"/>
    <w:rsid w:val="00D32A1B"/>
    <w:rsid w:val="00DA401E"/>
    <w:rsid w:val="00DD38B6"/>
    <w:rsid w:val="00DE2F72"/>
    <w:rsid w:val="00E14441"/>
    <w:rsid w:val="00E312EF"/>
    <w:rsid w:val="00E673CC"/>
    <w:rsid w:val="00EA43FC"/>
    <w:rsid w:val="00EA4B7F"/>
    <w:rsid w:val="00F07CFC"/>
    <w:rsid w:val="00F17E05"/>
    <w:rsid w:val="00F36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6B1EB"/>
  <w15:chartTrackingRefBased/>
  <w15:docId w15:val="{618C86BF-78DF-47BC-9B87-2DAC1C9E8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213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1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A2130"/>
    <w:rPr>
      <w:sz w:val="18"/>
      <w:szCs w:val="18"/>
    </w:rPr>
  </w:style>
  <w:style w:type="paragraph" w:styleId="a5">
    <w:name w:val="footer"/>
    <w:basedOn w:val="a"/>
    <w:link w:val="a6"/>
    <w:uiPriority w:val="99"/>
    <w:unhideWhenUsed/>
    <w:rsid w:val="00CA2130"/>
    <w:pPr>
      <w:tabs>
        <w:tab w:val="center" w:pos="4153"/>
        <w:tab w:val="right" w:pos="8306"/>
      </w:tabs>
      <w:snapToGrid w:val="0"/>
      <w:jc w:val="left"/>
    </w:pPr>
    <w:rPr>
      <w:sz w:val="18"/>
      <w:szCs w:val="18"/>
    </w:rPr>
  </w:style>
  <w:style w:type="character" w:customStyle="1" w:styleId="a6">
    <w:name w:val="页脚 字符"/>
    <w:basedOn w:val="a0"/>
    <w:link w:val="a5"/>
    <w:uiPriority w:val="99"/>
    <w:rsid w:val="00CA2130"/>
    <w:rPr>
      <w:sz w:val="18"/>
      <w:szCs w:val="18"/>
    </w:rPr>
  </w:style>
  <w:style w:type="paragraph" w:customStyle="1" w:styleId="1">
    <w:name w:val="列出段落1"/>
    <w:basedOn w:val="a"/>
    <w:uiPriority w:val="99"/>
    <w:qFormat/>
    <w:rsid w:val="00CA2130"/>
    <w:pPr>
      <w:ind w:firstLineChars="200" w:firstLine="420"/>
    </w:pPr>
  </w:style>
  <w:style w:type="paragraph" w:styleId="a7">
    <w:name w:val="List Paragraph"/>
    <w:basedOn w:val="a"/>
    <w:uiPriority w:val="34"/>
    <w:qFormat/>
    <w:rsid w:val="00CA2130"/>
    <w:pPr>
      <w:ind w:firstLineChars="200" w:firstLine="420"/>
    </w:pPr>
  </w:style>
  <w:style w:type="character" w:styleId="a8">
    <w:name w:val="Hyperlink"/>
    <w:basedOn w:val="a0"/>
    <w:uiPriority w:val="99"/>
    <w:unhideWhenUsed/>
    <w:rsid w:val="0090242E"/>
    <w:rPr>
      <w:color w:val="0563C1" w:themeColor="hyperlink"/>
      <w:u w:val="single"/>
    </w:rPr>
  </w:style>
  <w:style w:type="character" w:styleId="a9">
    <w:name w:val="Unresolved Mention"/>
    <w:basedOn w:val="a0"/>
    <w:uiPriority w:val="99"/>
    <w:semiHidden/>
    <w:unhideWhenUsed/>
    <w:rsid w:val="00902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17</Pages>
  <Words>2586</Words>
  <Characters>14741</Characters>
  <Application>Microsoft Office Word</Application>
  <DocSecurity>0</DocSecurity>
  <Lines>122</Lines>
  <Paragraphs>34</Paragraphs>
  <ScaleCrop>false</ScaleCrop>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2022-01-19T04:51:00Z</dcterms:created>
  <dcterms:modified xsi:type="dcterms:W3CDTF">2022-01-19T05:52:00Z</dcterms:modified>
</cp:coreProperties>
</file>