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53A3D" w14:textId="3C6F11C9" w:rsidR="008B1AEE" w:rsidRDefault="008B1AEE" w:rsidP="008B1AEE">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7</w:t>
      </w:r>
      <w:r w:rsidRPr="002009FE">
        <w:rPr>
          <w:rFonts w:ascii="黑体" w:eastAsia="黑体" w:cs="黑体" w:hint="eastAsia"/>
          <w:sz w:val="24"/>
        </w:rPr>
        <w:t>期（</w:t>
      </w:r>
      <w:r>
        <w:rPr>
          <w:rFonts w:ascii="黑体" w:eastAsia="黑体" w:cs="黑体"/>
          <w:sz w:val="24"/>
        </w:rPr>
        <w:t>2</w:t>
      </w:r>
      <w:r w:rsidRPr="002009FE">
        <w:rPr>
          <w:rFonts w:ascii="黑体" w:eastAsia="黑体" w:cs="黑体" w:hint="eastAsia"/>
          <w:sz w:val="24"/>
        </w:rPr>
        <w:t>月</w:t>
      </w:r>
      <w:r>
        <w:rPr>
          <w:rFonts w:ascii="黑体" w:eastAsia="黑体" w:cs="黑体"/>
          <w:sz w:val="24"/>
        </w:rPr>
        <w:t>14</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2</w:t>
      </w:r>
      <w:r w:rsidRPr="002009FE">
        <w:rPr>
          <w:rFonts w:ascii="黑体" w:eastAsia="黑体" w:cs="黑体" w:hint="eastAsia"/>
          <w:sz w:val="24"/>
        </w:rPr>
        <w:t>月</w:t>
      </w:r>
      <w:r>
        <w:rPr>
          <w:rFonts w:ascii="黑体" w:eastAsia="黑体" w:cs="黑体"/>
          <w:sz w:val="24"/>
        </w:rPr>
        <w:t>20</w:t>
      </w:r>
      <w:r w:rsidRPr="002009FE">
        <w:rPr>
          <w:rFonts w:ascii="黑体" w:eastAsia="黑体" w:cs="黑体" w:hint="eastAsia"/>
          <w:sz w:val="24"/>
        </w:rPr>
        <w:t>日）</w:t>
      </w:r>
      <w:bookmarkEnd w:id="0"/>
    </w:p>
    <w:p w14:paraId="0C0A0E09" w14:textId="77777777" w:rsidR="006211AB" w:rsidRPr="002009FE" w:rsidRDefault="006211AB" w:rsidP="008B1AEE">
      <w:pPr>
        <w:jc w:val="center"/>
        <w:outlineLvl w:val="0"/>
        <w:rPr>
          <w:rFonts w:ascii="黑体" w:eastAsia="黑体" w:cs="Times New Roman"/>
          <w:sz w:val="24"/>
        </w:rPr>
      </w:pPr>
    </w:p>
    <w:p w14:paraId="6ED7FB9E" w14:textId="77777777" w:rsidR="008B1AEE" w:rsidRPr="00A43D0D" w:rsidRDefault="008B1AEE" w:rsidP="008B1AEE">
      <w:pPr>
        <w:rPr>
          <w:rFonts w:ascii="黑体" w:eastAsia="黑体" w:cs="黑体"/>
        </w:rPr>
      </w:pPr>
      <w:r w:rsidRPr="00A43D0D">
        <w:rPr>
          <w:rFonts w:ascii="黑体" w:eastAsia="黑体" w:cs="黑体" w:hint="eastAsia"/>
        </w:rPr>
        <w:t>主要信息源自乘联会每日新闻等</w:t>
      </w:r>
    </w:p>
    <w:p w14:paraId="6EDCC4D9" w14:textId="77777777" w:rsidR="008B1AEE" w:rsidRPr="00A43D0D" w:rsidRDefault="008B1AEE" w:rsidP="008B1AEE">
      <w:pPr>
        <w:rPr>
          <w:rFonts w:ascii="黑体" w:eastAsia="黑体" w:cs="黑体"/>
        </w:rPr>
      </w:pPr>
      <w:r w:rsidRPr="00A43D0D">
        <w:rPr>
          <w:rFonts w:ascii="黑体" w:eastAsia="黑体" w:cs="黑体" w:hint="eastAsia"/>
        </w:rPr>
        <w:t>中国汽车流通协会汽车市场研究分会</w:t>
      </w:r>
    </w:p>
    <w:p w14:paraId="26789AC4" w14:textId="77777777" w:rsidR="008B1AEE" w:rsidRPr="00A43D0D" w:rsidRDefault="008B1AEE" w:rsidP="008B1AEE">
      <w:pPr>
        <w:rPr>
          <w:rFonts w:ascii="黑体" w:eastAsia="黑体" w:cs="黑体"/>
        </w:rPr>
      </w:pPr>
      <w:r w:rsidRPr="00A43D0D">
        <w:rPr>
          <w:rFonts w:ascii="黑体" w:eastAsia="黑体" w:cs="黑体" w:hint="eastAsia"/>
        </w:rPr>
        <w:t>乘用车市场信息联席会（乘联会）</w:t>
      </w:r>
    </w:p>
    <w:p w14:paraId="7BD61443" w14:textId="1CD1A475" w:rsidR="008B1AEE" w:rsidRDefault="008B1AEE" w:rsidP="008B1AEE">
      <w:pPr>
        <w:rPr>
          <w:rFonts w:ascii="黑体" w:eastAsia="黑体" w:cs="黑体"/>
        </w:rPr>
      </w:pPr>
      <w:r w:rsidRPr="00A43D0D">
        <w:rPr>
          <w:rFonts w:ascii="黑体" w:eastAsia="黑体" w:cs="黑体" w:hint="eastAsia"/>
        </w:rPr>
        <w:t>网站：</w:t>
      </w:r>
      <w:hyperlink r:id="rId7" w:history="1">
        <w:r w:rsidR="006211AB" w:rsidRPr="007B178F">
          <w:rPr>
            <w:rStyle w:val="af0"/>
            <w:rFonts w:ascii="黑体" w:eastAsia="黑体" w:cs="黑体"/>
          </w:rPr>
          <w:t>http://www.cpcaauto.com</w:t>
        </w:r>
      </w:hyperlink>
    </w:p>
    <w:p w14:paraId="576C2960" w14:textId="77777777" w:rsidR="006211AB" w:rsidRPr="006211AB" w:rsidRDefault="006211AB" w:rsidP="008B1AEE">
      <w:pPr>
        <w:rPr>
          <w:rFonts w:cs="Times New Roman"/>
        </w:rPr>
      </w:pPr>
    </w:p>
    <w:p w14:paraId="5ED43DFB" w14:textId="2E043CFD" w:rsidR="008B1AEE" w:rsidRPr="006211AB" w:rsidRDefault="008B1AEE" w:rsidP="008B1AEE">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73A49418" w14:textId="0C775CA8" w:rsidR="006211AB" w:rsidRDefault="006211AB" w:rsidP="006211AB">
      <w:pPr>
        <w:pStyle w:val="1"/>
        <w:rPr>
          <w:rFonts w:ascii="宋体" w:eastAsia="宋体" w:hAnsi="宋体" w:cs="Times New Roman"/>
        </w:rPr>
      </w:pPr>
      <w:r w:rsidRPr="006211AB">
        <w:rPr>
          <w:rFonts w:ascii="宋体" w:eastAsia="宋体" w:hAnsi="宋体" w:cs="Times New Roman"/>
        </w:rPr>
        <w:t>2月14-20日，乘用车零售32.9万辆，同比增长67%，环比上周增长80%，较上月同期</w:t>
      </w:r>
      <w:r>
        <w:rPr>
          <w:rFonts w:ascii="宋体" w:eastAsia="宋体" w:hAnsi="宋体" w:cs="Times New Roman" w:hint="eastAsia"/>
        </w:rPr>
        <w:t>下降</w:t>
      </w:r>
      <w:r w:rsidRPr="006211AB">
        <w:rPr>
          <w:rFonts w:ascii="宋体" w:eastAsia="宋体" w:hAnsi="宋体" w:cs="Times New Roman"/>
        </w:rPr>
        <w:t>32%</w:t>
      </w:r>
      <w:r>
        <w:rPr>
          <w:rFonts w:ascii="宋体" w:eastAsia="宋体" w:hAnsi="宋体" w:cs="Times New Roman" w:hint="eastAsia"/>
        </w:rPr>
        <w:t>；</w:t>
      </w:r>
      <w:r w:rsidRPr="006211AB">
        <w:rPr>
          <w:rFonts w:ascii="宋体" w:eastAsia="宋体" w:hAnsi="宋体" w:cs="Times New Roman"/>
        </w:rPr>
        <w:t>乘用车批发43.3万辆，同比增长142%，环比上周增长124%，较上月同期增长</w:t>
      </w:r>
      <w:r>
        <w:rPr>
          <w:rFonts w:ascii="宋体" w:eastAsia="宋体" w:hAnsi="宋体" w:cs="Times New Roman" w:hint="eastAsia"/>
        </w:rPr>
        <w:t>下降</w:t>
      </w:r>
      <w:r w:rsidRPr="006211AB">
        <w:rPr>
          <w:rFonts w:ascii="宋体" w:eastAsia="宋体" w:hAnsi="宋体" w:cs="Times New Roman"/>
        </w:rPr>
        <w:t>9%。</w:t>
      </w:r>
    </w:p>
    <w:p w14:paraId="46F97FA0" w14:textId="77777777" w:rsidR="006211AB" w:rsidRPr="006211AB" w:rsidRDefault="006211AB" w:rsidP="006211AB">
      <w:pPr>
        <w:pStyle w:val="1"/>
        <w:outlineLvl w:val="0"/>
        <w:rPr>
          <w:rFonts w:ascii="宋体" w:eastAsia="宋体" w:hAnsi="宋体" w:cs="Times New Roman"/>
        </w:rPr>
      </w:pPr>
    </w:p>
    <w:p w14:paraId="66CB91DC" w14:textId="05799450" w:rsidR="00FB2F70" w:rsidRPr="004E763D" w:rsidRDefault="004E763D" w:rsidP="004E763D">
      <w:pPr>
        <w:numPr>
          <w:ilvl w:val="0"/>
          <w:numId w:val="2"/>
        </w:numPr>
        <w:outlineLvl w:val="1"/>
        <w:rPr>
          <w:rFonts w:ascii="Calibri" w:eastAsia="宋体" w:hAnsi="Calibri" w:cs="宋体"/>
          <w:szCs w:val="21"/>
        </w:rPr>
      </w:pPr>
      <w:r w:rsidRPr="004E763D">
        <w:rPr>
          <w:rFonts w:ascii="黑体" w:eastAsia="黑体" w:hAnsi="黑体" w:cs="Times New Roman"/>
          <w:b/>
          <w:bCs/>
          <w:sz w:val="24"/>
        </w:rPr>
        <w:t>2月乘用车市场周度零售走势</w:t>
      </w:r>
    </w:p>
    <w:p w14:paraId="56B7A69D" w14:textId="3A516098" w:rsidR="00FB2F70" w:rsidRPr="00F82126" w:rsidRDefault="004E763D" w:rsidP="00F82126">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065D515A" wp14:editId="009A117C">
            <wp:extent cx="4320000" cy="3158603"/>
            <wp:effectExtent l="0" t="0" r="444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a:extLst>
                        <a:ext uri="{28A0092B-C50C-407E-A947-70E740481C1C}">
                          <a14:useLocalDpi xmlns:a14="http://schemas.microsoft.com/office/drawing/2010/main" val="0"/>
                        </a:ext>
                      </a:extLst>
                    </a:blip>
                    <a:stretch>
                      <a:fillRect/>
                    </a:stretch>
                  </pic:blipFill>
                  <pic:spPr>
                    <a:xfrm>
                      <a:off x="0" y="0"/>
                      <a:ext cx="4320000" cy="3158603"/>
                    </a:xfrm>
                    <a:prstGeom prst="rect">
                      <a:avLst/>
                    </a:prstGeom>
                  </pic:spPr>
                </pic:pic>
              </a:graphicData>
            </a:graphic>
          </wp:inline>
        </w:drawing>
      </w:r>
    </w:p>
    <w:p w14:paraId="35488635" w14:textId="45A9BF9B" w:rsidR="00F82126" w:rsidRDefault="00FB2F70" w:rsidP="00F82126">
      <w:pPr>
        <w:ind w:firstLineChars="200" w:firstLine="420"/>
        <w:rPr>
          <w:rFonts w:ascii="Calibri" w:eastAsia="宋体" w:hAnsi="Calibri" w:cs="Times New Roman"/>
          <w:szCs w:val="21"/>
        </w:rPr>
      </w:pPr>
      <w:r>
        <w:rPr>
          <w:rFonts w:ascii="Calibri" w:eastAsia="宋体" w:hAnsi="Calibri" w:cs="Times New Roman" w:hint="eastAsia"/>
          <w:szCs w:val="21"/>
        </w:rPr>
        <w:t>由于春节因素，</w:t>
      </w:r>
      <w:r>
        <w:rPr>
          <w:rFonts w:ascii="Calibri" w:eastAsia="宋体" w:hAnsi="Calibri" w:cs="Times New Roman" w:hint="eastAsia"/>
          <w:szCs w:val="21"/>
        </w:rPr>
        <w:t>2</w:t>
      </w:r>
      <w:r>
        <w:rPr>
          <w:rFonts w:ascii="Calibri" w:eastAsia="宋体" w:hAnsi="Calibri" w:cs="Times New Roman" w:hint="eastAsia"/>
          <w:szCs w:val="21"/>
        </w:rPr>
        <w:t>月第一周的量难以准确统计，因此</w:t>
      </w:r>
      <w:r w:rsidR="004E763D">
        <w:rPr>
          <w:rFonts w:ascii="Calibri" w:eastAsia="宋体" w:hAnsi="Calibri" w:cs="Times New Roman" w:hint="eastAsia"/>
          <w:szCs w:val="21"/>
        </w:rPr>
        <w:t>取了平均值</w:t>
      </w:r>
      <w:r>
        <w:rPr>
          <w:rFonts w:ascii="Calibri" w:eastAsia="宋体" w:hAnsi="Calibri" w:cs="Times New Roman" w:hint="eastAsia"/>
          <w:szCs w:val="21"/>
        </w:rPr>
        <w:t>。</w:t>
      </w:r>
      <w:r>
        <w:rPr>
          <w:rFonts w:ascii="Calibri" w:eastAsia="宋体" w:hAnsi="Calibri" w:cs="Times New Roman"/>
          <w:szCs w:val="21"/>
        </w:rPr>
        <w:t>2</w:t>
      </w:r>
      <w:r w:rsidRPr="00F877E8">
        <w:rPr>
          <w:rFonts w:ascii="Calibri" w:eastAsia="宋体" w:hAnsi="Calibri" w:cs="Times New Roman"/>
          <w:szCs w:val="21"/>
        </w:rPr>
        <w:t>月</w:t>
      </w:r>
      <w:r w:rsidR="004E763D">
        <w:rPr>
          <w:rFonts w:ascii="Calibri" w:eastAsia="宋体" w:hAnsi="Calibri" w:cs="Times New Roman" w:hint="eastAsia"/>
          <w:szCs w:val="21"/>
        </w:rPr>
        <w:t>一至二</w:t>
      </w:r>
      <w:r w:rsidRPr="00F877E8">
        <w:rPr>
          <w:rFonts w:ascii="Calibri" w:eastAsia="宋体" w:hAnsi="Calibri" w:cs="Times New Roman"/>
          <w:szCs w:val="21"/>
        </w:rPr>
        <w:t>周的总体狭义乘用车市场零售达到日均</w:t>
      </w:r>
      <w:r>
        <w:rPr>
          <w:rFonts w:ascii="Calibri" w:eastAsia="宋体" w:hAnsi="Calibri" w:cs="Times New Roman"/>
          <w:szCs w:val="21"/>
        </w:rPr>
        <w:t>2.6</w:t>
      </w:r>
      <w:r w:rsidR="004E763D">
        <w:rPr>
          <w:rFonts w:ascii="Calibri" w:eastAsia="宋体" w:hAnsi="Calibri" w:cs="Times New Roman"/>
          <w:szCs w:val="21"/>
        </w:rPr>
        <w:t>万辆</w:t>
      </w:r>
      <w:r w:rsidRPr="00F877E8">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3</w:t>
      </w:r>
      <w:r>
        <w:rPr>
          <w:rFonts w:ascii="Calibri" w:eastAsia="宋体" w:hAnsi="Calibri" w:cs="Times New Roman"/>
          <w:szCs w:val="21"/>
        </w:rPr>
        <w:t>3</w:t>
      </w:r>
      <w:r w:rsidRPr="00F877E8">
        <w:rPr>
          <w:rFonts w:ascii="Calibri" w:eastAsia="宋体" w:hAnsi="Calibri" w:cs="Times New Roman"/>
          <w:szCs w:val="21"/>
        </w:rPr>
        <w:t>%</w:t>
      </w:r>
      <w:r w:rsidRPr="00F877E8">
        <w:rPr>
          <w:rFonts w:ascii="Calibri" w:eastAsia="宋体" w:hAnsi="Calibri" w:cs="Times New Roman"/>
          <w:szCs w:val="21"/>
        </w:rPr>
        <w:t>，表现相对</w:t>
      </w:r>
      <w:r>
        <w:rPr>
          <w:rFonts w:ascii="Calibri" w:eastAsia="宋体" w:hAnsi="Calibri" w:cs="Times New Roman" w:hint="eastAsia"/>
          <w:szCs w:val="21"/>
        </w:rPr>
        <w:t>偏低，这</w:t>
      </w:r>
      <w:r w:rsidR="004E763D">
        <w:rPr>
          <w:rFonts w:ascii="Calibri" w:eastAsia="宋体" w:hAnsi="Calibri" w:cs="Times New Roman" w:hint="eastAsia"/>
          <w:szCs w:val="21"/>
        </w:rPr>
        <w:t>也</w:t>
      </w:r>
      <w:r>
        <w:rPr>
          <w:rFonts w:ascii="Calibri" w:eastAsia="宋体" w:hAnsi="Calibri" w:cs="Times New Roman" w:hint="eastAsia"/>
          <w:szCs w:val="21"/>
        </w:rPr>
        <w:t>是</w:t>
      </w:r>
      <w:r w:rsidR="004E763D">
        <w:rPr>
          <w:rFonts w:ascii="Calibri" w:eastAsia="宋体" w:hAnsi="Calibri" w:cs="Times New Roman" w:hint="eastAsia"/>
          <w:szCs w:val="21"/>
        </w:rPr>
        <w:t>受节日</w:t>
      </w:r>
      <w:r w:rsidR="00CC3CD0">
        <w:rPr>
          <w:rFonts w:ascii="Calibri" w:eastAsia="宋体" w:hAnsi="Calibri" w:cs="Times New Roman" w:hint="eastAsia"/>
          <w:szCs w:val="21"/>
        </w:rPr>
        <w:t>因素</w:t>
      </w:r>
      <w:r w:rsidR="004E763D">
        <w:rPr>
          <w:rFonts w:ascii="Calibri" w:eastAsia="宋体" w:hAnsi="Calibri" w:cs="Times New Roman" w:hint="eastAsia"/>
          <w:szCs w:val="21"/>
        </w:rPr>
        <w:t>影响的</w:t>
      </w:r>
      <w:r>
        <w:rPr>
          <w:rFonts w:ascii="Calibri" w:eastAsia="宋体" w:hAnsi="Calibri" w:cs="Times New Roman" w:hint="eastAsia"/>
          <w:szCs w:val="21"/>
        </w:rPr>
        <w:t>正常调整</w:t>
      </w:r>
      <w:r w:rsidRPr="00F877E8">
        <w:rPr>
          <w:rFonts w:ascii="Calibri" w:eastAsia="宋体" w:hAnsi="Calibri" w:cs="Times New Roman"/>
          <w:szCs w:val="21"/>
        </w:rPr>
        <w:t>，</w:t>
      </w:r>
      <w:r>
        <w:rPr>
          <w:rFonts w:ascii="Calibri" w:eastAsia="宋体" w:hAnsi="Calibri" w:cs="Times New Roman" w:hint="eastAsia"/>
          <w:szCs w:val="21"/>
        </w:rPr>
        <w:t>2</w:t>
      </w:r>
      <w:r>
        <w:rPr>
          <w:rFonts w:ascii="Calibri" w:eastAsia="宋体" w:hAnsi="Calibri" w:cs="Times New Roman" w:hint="eastAsia"/>
          <w:szCs w:val="21"/>
        </w:rPr>
        <w:t>月</w:t>
      </w:r>
      <w:r w:rsidR="00F82126">
        <w:rPr>
          <w:rFonts w:ascii="Calibri" w:eastAsia="宋体" w:hAnsi="Calibri" w:cs="Times New Roman" w:hint="eastAsia"/>
          <w:szCs w:val="21"/>
        </w:rPr>
        <w:t>一至二</w:t>
      </w:r>
      <w:r>
        <w:rPr>
          <w:rFonts w:ascii="Calibri" w:eastAsia="宋体" w:hAnsi="Calibri" w:cs="Times New Roman" w:hint="eastAsia"/>
          <w:szCs w:val="21"/>
        </w:rPr>
        <w:t>周</w:t>
      </w:r>
      <w:r w:rsidRPr="00F877E8">
        <w:rPr>
          <w:rFonts w:ascii="Calibri" w:eastAsia="宋体" w:hAnsi="Calibri" w:cs="Times New Roman"/>
          <w:szCs w:val="21"/>
        </w:rPr>
        <w:t>相对</w:t>
      </w:r>
      <w:r w:rsidRPr="00F877E8">
        <w:rPr>
          <w:rFonts w:ascii="Calibri" w:eastAsia="宋体" w:hAnsi="Calibri" w:cs="Times New Roman"/>
          <w:szCs w:val="21"/>
        </w:rPr>
        <w:t>202</w:t>
      </w:r>
      <w:r>
        <w:rPr>
          <w:rFonts w:ascii="Calibri" w:eastAsia="宋体" w:hAnsi="Calibri" w:cs="Times New Roman"/>
          <w:szCs w:val="21"/>
        </w:rPr>
        <w:t>2</w:t>
      </w:r>
      <w:r w:rsidRPr="00F877E8">
        <w:rPr>
          <w:rFonts w:ascii="Calibri" w:eastAsia="宋体" w:hAnsi="Calibri" w:cs="Times New Roman"/>
          <w:szCs w:val="21"/>
        </w:rPr>
        <w:t>年</w:t>
      </w:r>
      <w:r w:rsidRPr="00F877E8">
        <w:rPr>
          <w:rFonts w:ascii="Calibri" w:eastAsia="宋体" w:hAnsi="Calibri" w:cs="Times New Roman"/>
          <w:szCs w:val="21"/>
        </w:rPr>
        <w:t>1</w:t>
      </w:r>
      <w:r w:rsidRPr="00F877E8">
        <w:rPr>
          <w:rFonts w:ascii="Calibri" w:eastAsia="宋体" w:hAnsi="Calibri" w:cs="Times New Roman"/>
          <w:szCs w:val="21"/>
        </w:rPr>
        <w:t>月</w:t>
      </w:r>
      <w:r w:rsidR="00F82126">
        <w:rPr>
          <w:rFonts w:ascii="Calibri" w:eastAsia="宋体" w:hAnsi="Calibri" w:cs="Times New Roman" w:hint="eastAsia"/>
          <w:szCs w:val="21"/>
        </w:rPr>
        <w:t>同期</w:t>
      </w:r>
      <w:r>
        <w:rPr>
          <w:rFonts w:ascii="Calibri" w:eastAsia="宋体" w:hAnsi="Calibri" w:cs="Times New Roman" w:hint="eastAsia"/>
          <w:szCs w:val="21"/>
        </w:rPr>
        <w:t>下降</w:t>
      </w:r>
      <w:r>
        <w:rPr>
          <w:rFonts w:ascii="Calibri" w:eastAsia="宋体" w:hAnsi="Calibri" w:cs="Times New Roman" w:hint="eastAsia"/>
          <w:szCs w:val="21"/>
        </w:rPr>
        <w:t>5</w:t>
      </w:r>
      <w:r w:rsidR="00E53411">
        <w:rPr>
          <w:rFonts w:ascii="Calibri" w:eastAsia="宋体" w:hAnsi="Calibri" w:cs="Times New Roman"/>
          <w:szCs w:val="21"/>
        </w:rPr>
        <w:t>5</w:t>
      </w:r>
      <w:r w:rsidRPr="00F877E8">
        <w:rPr>
          <w:rFonts w:ascii="Calibri" w:eastAsia="宋体" w:hAnsi="Calibri" w:cs="Times New Roman"/>
          <w:szCs w:val="21"/>
        </w:rPr>
        <w:t>%</w:t>
      </w:r>
      <w:r w:rsidRPr="00F877E8">
        <w:rPr>
          <w:rFonts w:ascii="Calibri" w:eastAsia="宋体" w:hAnsi="Calibri" w:cs="Times New Roman"/>
          <w:szCs w:val="21"/>
        </w:rPr>
        <w:t>。</w:t>
      </w:r>
    </w:p>
    <w:p w14:paraId="6F02D892" w14:textId="77EFC0DE" w:rsidR="00E53411" w:rsidRDefault="00E53411" w:rsidP="00F82126">
      <w:pPr>
        <w:ind w:firstLineChars="200" w:firstLine="42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月第三周进入开学季前的购车期，日均零售</w:t>
      </w:r>
      <w:r>
        <w:rPr>
          <w:rFonts w:ascii="Calibri" w:eastAsia="宋体" w:hAnsi="Calibri" w:cs="Times New Roman" w:hint="eastAsia"/>
          <w:szCs w:val="21"/>
        </w:rPr>
        <w:t>4</w:t>
      </w:r>
      <w:r>
        <w:rPr>
          <w:rFonts w:ascii="Calibri" w:eastAsia="宋体" w:hAnsi="Calibri" w:cs="Times New Roman"/>
          <w:szCs w:val="21"/>
        </w:rPr>
        <w:t>.7</w:t>
      </w:r>
      <w:r w:rsidR="004E763D">
        <w:rPr>
          <w:rFonts w:ascii="Calibri" w:eastAsia="宋体" w:hAnsi="Calibri" w:cs="Times New Roman" w:hint="eastAsia"/>
          <w:szCs w:val="21"/>
        </w:rPr>
        <w:t>万辆</w:t>
      </w:r>
      <w:r>
        <w:rPr>
          <w:rFonts w:ascii="Calibri" w:eastAsia="宋体" w:hAnsi="Calibri" w:cs="Times New Roman" w:hint="eastAsia"/>
          <w:szCs w:val="21"/>
        </w:rPr>
        <w:t>，较去年</w:t>
      </w:r>
      <w:r>
        <w:rPr>
          <w:rFonts w:ascii="Calibri" w:eastAsia="宋体" w:hAnsi="Calibri" w:cs="Times New Roman" w:hint="eastAsia"/>
          <w:szCs w:val="21"/>
        </w:rPr>
        <w:t>2</w:t>
      </w:r>
      <w:r>
        <w:rPr>
          <w:rFonts w:ascii="Calibri" w:eastAsia="宋体" w:hAnsi="Calibri" w:cs="Times New Roman" w:hint="eastAsia"/>
          <w:szCs w:val="21"/>
        </w:rPr>
        <w:t>月春节期间的同期零售增长</w:t>
      </w:r>
      <w:r>
        <w:rPr>
          <w:rFonts w:ascii="Calibri" w:eastAsia="宋体" w:hAnsi="Calibri" w:cs="Times New Roman" w:hint="eastAsia"/>
          <w:szCs w:val="21"/>
        </w:rPr>
        <w:t>6</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1</w:t>
      </w:r>
      <w:r>
        <w:rPr>
          <w:rFonts w:ascii="Calibri" w:eastAsia="宋体" w:hAnsi="Calibri" w:cs="Times New Roman" w:hint="eastAsia"/>
          <w:szCs w:val="21"/>
        </w:rPr>
        <w:t>月</w:t>
      </w:r>
      <w:r w:rsidR="00F82126">
        <w:rPr>
          <w:rFonts w:ascii="Calibri" w:eastAsia="宋体" w:hAnsi="Calibri" w:cs="Times New Roman" w:hint="eastAsia"/>
          <w:szCs w:val="21"/>
        </w:rPr>
        <w:t>同期</w:t>
      </w:r>
      <w:r>
        <w:rPr>
          <w:rFonts w:ascii="Calibri" w:eastAsia="宋体" w:hAnsi="Calibri" w:cs="Times New Roman" w:hint="eastAsia"/>
          <w:szCs w:val="21"/>
        </w:rPr>
        <w:t>零售下降</w:t>
      </w:r>
      <w:r>
        <w:rPr>
          <w:rFonts w:ascii="Calibri" w:eastAsia="宋体" w:hAnsi="Calibri" w:cs="Times New Roman" w:hint="eastAsia"/>
          <w:szCs w:val="21"/>
        </w:rPr>
        <w:t>3</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r w:rsidR="008171CF">
        <w:rPr>
          <w:rFonts w:ascii="Calibri" w:eastAsia="宋体" w:hAnsi="Calibri" w:cs="Times New Roman" w:hint="eastAsia"/>
          <w:szCs w:val="21"/>
        </w:rPr>
        <w:t>相对节前火爆期的零售回升到</w:t>
      </w:r>
      <w:r w:rsidR="008171CF">
        <w:rPr>
          <w:rFonts w:ascii="Calibri" w:eastAsia="宋体" w:hAnsi="Calibri" w:cs="Times New Roman" w:hint="eastAsia"/>
          <w:szCs w:val="21"/>
        </w:rPr>
        <w:t>7</w:t>
      </w:r>
      <w:r w:rsidR="008171CF">
        <w:rPr>
          <w:rFonts w:ascii="Calibri" w:eastAsia="宋体" w:hAnsi="Calibri" w:cs="Times New Roman" w:hint="eastAsia"/>
          <w:szCs w:val="21"/>
        </w:rPr>
        <w:t>成水平，</w:t>
      </w:r>
      <w:r w:rsidR="00D16A6F">
        <w:rPr>
          <w:rFonts w:ascii="Calibri" w:eastAsia="宋体" w:hAnsi="Calibri" w:cs="Times New Roman" w:hint="eastAsia"/>
          <w:szCs w:val="21"/>
        </w:rPr>
        <w:t>春节后</w:t>
      </w:r>
      <w:r w:rsidR="008171CF">
        <w:rPr>
          <w:rFonts w:ascii="Calibri" w:eastAsia="宋体" w:hAnsi="Calibri" w:cs="Times New Roman" w:hint="eastAsia"/>
          <w:szCs w:val="21"/>
        </w:rPr>
        <w:t>市场零售回暖</w:t>
      </w:r>
      <w:r>
        <w:rPr>
          <w:rFonts w:ascii="Calibri" w:eastAsia="宋体" w:hAnsi="Calibri" w:cs="Times New Roman" w:hint="eastAsia"/>
          <w:szCs w:val="21"/>
        </w:rPr>
        <w:t>较好。</w:t>
      </w:r>
    </w:p>
    <w:p w14:paraId="7BBC57C8" w14:textId="77777777" w:rsidR="00F82126" w:rsidRDefault="00FB2F70" w:rsidP="00F82126">
      <w:pPr>
        <w:ind w:firstLineChars="202" w:firstLine="424"/>
        <w:rPr>
          <w:rFonts w:ascii="宋体" w:eastAsia="宋体" w:hAnsi="宋体"/>
          <w:szCs w:val="21"/>
        </w:rPr>
      </w:pPr>
      <w:r>
        <w:rPr>
          <w:rFonts w:ascii="宋体" w:eastAsia="宋体" w:hAnsi="宋体"/>
          <w:szCs w:val="21"/>
        </w:rPr>
        <w:t>20</w:t>
      </w:r>
      <w:r>
        <w:rPr>
          <w:rFonts w:ascii="宋体" w:eastAsia="宋体" w:hAnsi="宋体" w:hint="eastAsia"/>
          <w:szCs w:val="21"/>
        </w:rPr>
        <w:t>2</w:t>
      </w:r>
      <w:r>
        <w:rPr>
          <w:rFonts w:ascii="宋体" w:eastAsia="宋体" w:hAnsi="宋体"/>
          <w:szCs w:val="21"/>
        </w:rPr>
        <w:t>2</w:t>
      </w:r>
      <w:r>
        <w:rPr>
          <w:rFonts w:ascii="宋体" w:eastAsia="宋体" w:hAnsi="宋体" w:hint="eastAsia"/>
          <w:szCs w:val="21"/>
        </w:rPr>
        <w:t>年</w:t>
      </w:r>
      <w:r>
        <w:rPr>
          <w:rFonts w:ascii="宋体" w:eastAsia="宋体" w:hAnsi="宋体"/>
          <w:szCs w:val="21"/>
        </w:rPr>
        <w:t>的经济形势</w:t>
      </w:r>
      <w:r>
        <w:rPr>
          <w:rFonts w:ascii="宋体" w:eastAsia="宋体" w:hAnsi="宋体" w:hint="eastAsia"/>
          <w:szCs w:val="21"/>
        </w:rPr>
        <w:t>日益</w:t>
      </w:r>
      <w:r>
        <w:rPr>
          <w:rFonts w:ascii="宋体" w:eastAsia="宋体" w:hAnsi="宋体"/>
          <w:szCs w:val="21"/>
        </w:rPr>
        <w:t>复杂严峻，</w:t>
      </w:r>
      <w:r>
        <w:rPr>
          <w:rFonts w:ascii="宋体" w:eastAsia="宋体" w:hAnsi="宋体" w:hint="eastAsia"/>
          <w:szCs w:val="21"/>
        </w:rPr>
        <w:t>房地产市场见顶回落趋势明显。短期看，对于房地产行业的调控将处于趋向紧平衡走势，部分相关行业增长压力较大、市场预期偏弱</w:t>
      </w:r>
      <w:r>
        <w:rPr>
          <w:rFonts w:ascii="宋体" w:eastAsia="宋体" w:hAnsi="宋体"/>
          <w:szCs w:val="21"/>
        </w:rPr>
        <w:t>。</w:t>
      </w:r>
      <w:r>
        <w:rPr>
          <w:rFonts w:ascii="宋体" w:eastAsia="宋体" w:hAnsi="宋体" w:hint="eastAsia"/>
          <w:szCs w:val="21"/>
        </w:rPr>
        <w:t>疫情散发影响下的节后生产生活、服务业恢复较谨慎，加之冬奥会等重大赛事保障防控力度，2月车市回暖较慢。但随着中年外出务工群体的回流，车市的结构性回暖面临较好机遇。</w:t>
      </w:r>
    </w:p>
    <w:p w14:paraId="133B1F71" w14:textId="45B2E9B3" w:rsidR="00FB2F70" w:rsidRDefault="00FB2F70" w:rsidP="00F82126">
      <w:pPr>
        <w:ind w:firstLineChars="202" w:firstLine="424"/>
        <w:rPr>
          <w:rFonts w:ascii="宋体" w:eastAsia="宋体" w:hAnsi="宋体"/>
          <w:szCs w:val="21"/>
        </w:rPr>
      </w:pPr>
      <w:r>
        <w:rPr>
          <w:rFonts w:ascii="宋体" w:eastAsia="宋体" w:hAnsi="宋体"/>
          <w:szCs w:val="21"/>
        </w:rPr>
        <w:t>历年春节后都有一定的开学前购车潮，大城市交通拥堵基本是以学校开学放假为分界</w:t>
      </w:r>
      <w:r w:rsidR="008171CF">
        <w:rPr>
          <w:rFonts w:ascii="宋体" w:eastAsia="宋体" w:hAnsi="宋体" w:hint="eastAsia"/>
          <w:szCs w:val="21"/>
        </w:rPr>
        <w:t>。</w:t>
      </w:r>
      <w:r w:rsidR="008171CF" w:rsidRPr="008171CF">
        <w:rPr>
          <w:rFonts w:ascii="宋体" w:eastAsia="宋体" w:hAnsi="宋体" w:hint="eastAsia"/>
          <w:szCs w:val="21"/>
        </w:rPr>
        <w:t>疫情反复持续发生，</w:t>
      </w:r>
      <w:r w:rsidR="008171CF">
        <w:rPr>
          <w:rFonts w:ascii="宋体" w:eastAsia="宋体" w:hAnsi="宋体" w:hint="eastAsia"/>
          <w:szCs w:val="21"/>
        </w:rPr>
        <w:t>各地</w:t>
      </w:r>
      <w:r>
        <w:rPr>
          <w:rFonts w:ascii="宋体" w:eastAsia="宋体" w:hAnsi="宋体" w:hint="eastAsia"/>
          <w:szCs w:val="21"/>
        </w:rPr>
        <w:t>疫情散发的风险犹存</w:t>
      </w:r>
      <w:r w:rsidR="008171CF">
        <w:rPr>
          <w:rFonts w:ascii="宋体" w:eastAsia="宋体" w:hAnsi="宋体" w:hint="eastAsia"/>
          <w:szCs w:val="21"/>
        </w:rPr>
        <w:t>，</w:t>
      </w:r>
      <w:r w:rsidR="008171CF" w:rsidRPr="008171CF">
        <w:rPr>
          <w:rFonts w:ascii="宋体" w:eastAsia="宋体" w:hAnsi="宋体" w:hint="eastAsia"/>
          <w:szCs w:val="21"/>
        </w:rPr>
        <w:t>顾客</w:t>
      </w:r>
      <w:r w:rsidR="008171CF">
        <w:rPr>
          <w:rFonts w:ascii="宋体" w:eastAsia="宋体" w:hAnsi="宋体" w:hint="eastAsia"/>
          <w:szCs w:val="21"/>
        </w:rPr>
        <w:t>购车仍是刚性</w:t>
      </w:r>
      <w:r w:rsidR="008171CF" w:rsidRPr="008171CF">
        <w:rPr>
          <w:rFonts w:ascii="宋体" w:eastAsia="宋体" w:hAnsi="宋体" w:hint="eastAsia"/>
          <w:szCs w:val="21"/>
        </w:rPr>
        <w:t>需求</w:t>
      </w:r>
      <w:r>
        <w:rPr>
          <w:rFonts w:ascii="宋体" w:eastAsia="宋体" w:hAnsi="宋体" w:hint="eastAsia"/>
          <w:szCs w:val="21"/>
        </w:rPr>
        <w:t>，</w:t>
      </w:r>
      <w:r>
        <w:rPr>
          <w:rFonts w:ascii="宋体" w:eastAsia="宋体" w:hAnsi="宋体"/>
          <w:szCs w:val="21"/>
        </w:rPr>
        <w:t>今年开学购车潮</w:t>
      </w:r>
      <w:r>
        <w:rPr>
          <w:rFonts w:ascii="宋体" w:eastAsia="宋体" w:hAnsi="宋体" w:hint="eastAsia"/>
          <w:szCs w:val="21"/>
        </w:rPr>
        <w:t>仍</w:t>
      </w:r>
      <w:r w:rsidR="008171CF">
        <w:rPr>
          <w:rFonts w:ascii="宋体" w:eastAsia="宋体" w:hAnsi="宋体" w:hint="eastAsia"/>
          <w:szCs w:val="21"/>
        </w:rPr>
        <w:t>相对较强</w:t>
      </w:r>
      <w:r>
        <w:rPr>
          <w:rFonts w:ascii="宋体" w:eastAsia="宋体" w:hAnsi="宋体"/>
          <w:szCs w:val="21"/>
        </w:rPr>
        <w:t>。因此2月批发零售增速应值得期待。</w:t>
      </w:r>
    </w:p>
    <w:p w14:paraId="5E31DC89" w14:textId="77777777" w:rsidR="00FB2F70" w:rsidRDefault="00FB2F70" w:rsidP="00FB2F70">
      <w:pPr>
        <w:ind w:firstLineChars="135" w:firstLine="283"/>
        <w:rPr>
          <w:rFonts w:ascii="Calibri" w:eastAsia="宋体" w:hAnsi="Calibri" w:cs="Times New Roman"/>
          <w:szCs w:val="21"/>
        </w:rPr>
      </w:pPr>
    </w:p>
    <w:p w14:paraId="3F49C4BC" w14:textId="2D43345B" w:rsidR="00FB2F70" w:rsidRPr="00F82126" w:rsidRDefault="004E763D" w:rsidP="00F82126">
      <w:pPr>
        <w:numPr>
          <w:ilvl w:val="0"/>
          <w:numId w:val="2"/>
        </w:numPr>
        <w:outlineLvl w:val="1"/>
        <w:rPr>
          <w:rFonts w:ascii="黑体" w:eastAsia="黑体" w:hAnsi="黑体" w:cs="Times New Roman"/>
          <w:b/>
          <w:bCs/>
          <w:sz w:val="24"/>
        </w:rPr>
      </w:pPr>
      <w:r w:rsidRPr="004E763D">
        <w:rPr>
          <w:rFonts w:ascii="黑体" w:eastAsia="黑体" w:hAnsi="黑体" w:cs="Times New Roman"/>
          <w:b/>
          <w:bCs/>
          <w:sz w:val="24"/>
        </w:rPr>
        <w:t>2月乘用车市场周度批发走势</w:t>
      </w:r>
    </w:p>
    <w:p w14:paraId="7C7B3B39" w14:textId="5D9BF653" w:rsidR="00F82126" w:rsidRPr="00FB2F70" w:rsidRDefault="00F82126" w:rsidP="00F82126">
      <w:pPr>
        <w:jc w:val="center"/>
        <w:rPr>
          <w:rFonts w:ascii="Calibri" w:eastAsia="宋体" w:hAnsi="Calibri" w:cs="Times New Roman"/>
          <w:szCs w:val="21"/>
        </w:rPr>
      </w:pPr>
      <w:r>
        <w:rPr>
          <w:rFonts w:ascii="Calibri" w:eastAsia="宋体" w:hAnsi="Calibri" w:cs="Times New Roman" w:hint="eastAsia"/>
          <w:noProof/>
          <w:szCs w:val="21"/>
        </w:rPr>
        <w:lastRenderedPageBreak/>
        <w:drawing>
          <wp:inline distT="0" distB="0" distL="0" distR="0" wp14:anchorId="4345A6B8" wp14:editId="0E76BB6C">
            <wp:extent cx="4320000" cy="3158603"/>
            <wp:effectExtent l="0" t="0" r="4445"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a:extLst>
                        <a:ext uri="{28A0092B-C50C-407E-A947-70E740481C1C}">
                          <a14:useLocalDpi xmlns:a14="http://schemas.microsoft.com/office/drawing/2010/main" val="0"/>
                        </a:ext>
                      </a:extLst>
                    </a:blip>
                    <a:stretch>
                      <a:fillRect/>
                    </a:stretch>
                  </pic:blipFill>
                  <pic:spPr>
                    <a:xfrm>
                      <a:off x="0" y="0"/>
                      <a:ext cx="4320000" cy="3158603"/>
                    </a:xfrm>
                    <a:prstGeom prst="rect">
                      <a:avLst/>
                    </a:prstGeom>
                  </pic:spPr>
                </pic:pic>
              </a:graphicData>
            </a:graphic>
          </wp:inline>
        </w:drawing>
      </w:r>
    </w:p>
    <w:p w14:paraId="282E8D4A" w14:textId="02EC3AD5" w:rsidR="00FB2F70" w:rsidRPr="00F82126" w:rsidRDefault="00FB2F70" w:rsidP="00FB2F70">
      <w:pPr>
        <w:ind w:firstLineChars="202" w:firstLine="424"/>
        <w:rPr>
          <w:rFonts w:ascii="宋体" w:eastAsia="宋体" w:hAnsi="宋体" w:cs="黑体"/>
          <w:bCs/>
          <w:szCs w:val="21"/>
        </w:rPr>
      </w:pPr>
      <w:r w:rsidRPr="00F82126">
        <w:rPr>
          <w:rFonts w:ascii="宋体" w:eastAsia="宋体" w:hAnsi="宋体" w:cs="黑体" w:hint="eastAsia"/>
          <w:bCs/>
          <w:szCs w:val="21"/>
        </w:rPr>
        <w:t>由于春节因素，</w:t>
      </w:r>
      <w:r w:rsidRPr="00F82126">
        <w:rPr>
          <w:rFonts w:ascii="宋体" w:eastAsia="宋体" w:hAnsi="宋体" w:cs="黑体"/>
          <w:bCs/>
          <w:szCs w:val="21"/>
        </w:rPr>
        <w:t>2月第一周的</w:t>
      </w:r>
      <w:r w:rsidR="00F82126">
        <w:rPr>
          <w:rFonts w:ascii="宋体" w:eastAsia="宋体" w:hAnsi="宋体" w:cs="黑体" w:hint="eastAsia"/>
          <w:bCs/>
          <w:szCs w:val="21"/>
        </w:rPr>
        <w:t>厂商</w:t>
      </w:r>
      <w:r w:rsidRPr="00F82126">
        <w:rPr>
          <w:rFonts w:ascii="宋体" w:eastAsia="宋体" w:hAnsi="宋体" w:cs="黑体" w:hint="eastAsia"/>
          <w:bCs/>
          <w:szCs w:val="21"/>
        </w:rPr>
        <w:t>批发</w:t>
      </w:r>
      <w:r w:rsidRPr="00F82126">
        <w:rPr>
          <w:rFonts w:ascii="宋体" w:eastAsia="宋体" w:hAnsi="宋体" w:cs="黑体"/>
          <w:bCs/>
          <w:szCs w:val="21"/>
        </w:rPr>
        <w:t>量</w:t>
      </w:r>
      <w:r w:rsidRPr="00F82126">
        <w:rPr>
          <w:rFonts w:ascii="宋体" w:eastAsia="宋体" w:hAnsi="宋体" w:cs="黑体" w:hint="eastAsia"/>
          <w:bCs/>
          <w:szCs w:val="21"/>
        </w:rPr>
        <w:t>几乎为零，也</w:t>
      </w:r>
      <w:r w:rsidRPr="00F82126">
        <w:rPr>
          <w:rFonts w:ascii="宋体" w:eastAsia="宋体" w:hAnsi="宋体" w:cs="黑体"/>
          <w:bCs/>
          <w:szCs w:val="21"/>
        </w:rPr>
        <w:t>难以准确统计，因此</w:t>
      </w:r>
      <w:r w:rsidR="00484733">
        <w:rPr>
          <w:rFonts w:ascii="宋体" w:eastAsia="宋体" w:hAnsi="宋体" w:cs="黑体" w:hint="eastAsia"/>
          <w:bCs/>
          <w:szCs w:val="21"/>
        </w:rPr>
        <w:t>一至二</w:t>
      </w:r>
      <w:r w:rsidRPr="00F82126">
        <w:rPr>
          <w:rFonts w:ascii="宋体" w:eastAsia="宋体" w:hAnsi="宋体" w:cs="黑体" w:hint="eastAsia"/>
          <w:bCs/>
          <w:szCs w:val="21"/>
        </w:rPr>
        <w:t>周</w:t>
      </w:r>
      <w:r w:rsidR="00484733">
        <w:rPr>
          <w:rFonts w:ascii="宋体" w:eastAsia="宋体" w:hAnsi="宋体" w:cs="黑体" w:hint="eastAsia"/>
          <w:bCs/>
          <w:szCs w:val="21"/>
        </w:rPr>
        <w:t>取了平均值</w:t>
      </w:r>
      <w:r w:rsidRPr="00F82126">
        <w:rPr>
          <w:rFonts w:ascii="宋体" w:eastAsia="宋体" w:hAnsi="宋体" w:cs="黑体"/>
          <w:bCs/>
          <w:szCs w:val="21"/>
        </w:rPr>
        <w:t>。2月</w:t>
      </w:r>
      <w:r w:rsidR="00484733">
        <w:rPr>
          <w:rFonts w:ascii="宋体" w:eastAsia="宋体" w:hAnsi="宋体" w:cs="黑体" w:hint="eastAsia"/>
          <w:bCs/>
          <w:szCs w:val="21"/>
        </w:rPr>
        <w:t>一至二</w:t>
      </w:r>
      <w:r w:rsidRPr="00F82126">
        <w:rPr>
          <w:rFonts w:ascii="宋体" w:eastAsia="宋体" w:hAnsi="宋体" w:cs="黑体"/>
          <w:bCs/>
          <w:szCs w:val="21"/>
        </w:rPr>
        <w:t>周的总体狭义乘用车</w:t>
      </w:r>
      <w:r w:rsidR="00F82126">
        <w:rPr>
          <w:rFonts w:ascii="宋体" w:eastAsia="宋体" w:hAnsi="宋体" w:cs="黑体" w:hint="eastAsia"/>
          <w:bCs/>
          <w:szCs w:val="21"/>
        </w:rPr>
        <w:t>厂商</w:t>
      </w:r>
      <w:r w:rsidRPr="00F82126">
        <w:rPr>
          <w:rFonts w:ascii="宋体" w:eastAsia="宋体" w:hAnsi="宋体" w:cs="黑体" w:hint="eastAsia"/>
          <w:bCs/>
          <w:szCs w:val="21"/>
        </w:rPr>
        <w:t>批发</w:t>
      </w:r>
      <w:r w:rsidRPr="00F82126">
        <w:rPr>
          <w:rFonts w:ascii="宋体" w:eastAsia="宋体" w:hAnsi="宋体" w:cs="黑体"/>
          <w:bCs/>
          <w:szCs w:val="21"/>
        </w:rPr>
        <w:t>达到日均2.</w:t>
      </w:r>
      <w:r w:rsidR="00484733">
        <w:rPr>
          <w:rFonts w:ascii="宋体" w:eastAsia="宋体" w:hAnsi="宋体" w:cs="黑体"/>
          <w:bCs/>
          <w:szCs w:val="21"/>
        </w:rPr>
        <w:t>8</w:t>
      </w:r>
      <w:r w:rsidR="004E763D" w:rsidRPr="00F82126">
        <w:rPr>
          <w:rFonts w:ascii="宋体" w:eastAsia="宋体" w:hAnsi="宋体" w:cs="黑体"/>
          <w:bCs/>
          <w:szCs w:val="21"/>
        </w:rPr>
        <w:t>万辆</w:t>
      </w:r>
      <w:r w:rsidRPr="00F82126">
        <w:rPr>
          <w:rFonts w:ascii="宋体" w:eastAsia="宋体" w:hAnsi="宋体" w:cs="黑体"/>
          <w:bCs/>
          <w:szCs w:val="21"/>
        </w:rPr>
        <w:t>，同比下降20%，表现相对偏低，这是节日因素的</w:t>
      </w:r>
      <w:r w:rsidR="00484733">
        <w:rPr>
          <w:rFonts w:ascii="宋体" w:eastAsia="宋体" w:hAnsi="宋体" w:cs="黑体" w:hint="eastAsia"/>
          <w:bCs/>
          <w:szCs w:val="21"/>
        </w:rPr>
        <w:t>正常</w:t>
      </w:r>
      <w:r w:rsidRPr="00F82126">
        <w:rPr>
          <w:rFonts w:ascii="宋体" w:eastAsia="宋体" w:hAnsi="宋体" w:cs="黑体"/>
          <w:bCs/>
          <w:szCs w:val="21"/>
        </w:rPr>
        <w:t>调整。</w:t>
      </w:r>
    </w:p>
    <w:p w14:paraId="4D18BCC2" w14:textId="08088FCF" w:rsidR="00E53411" w:rsidRPr="00F82126" w:rsidRDefault="00E53411" w:rsidP="00FB2F70">
      <w:pPr>
        <w:ind w:firstLineChars="202" w:firstLine="424"/>
        <w:rPr>
          <w:rFonts w:ascii="宋体" w:eastAsia="宋体" w:hAnsi="宋体" w:cs="黑体"/>
          <w:bCs/>
          <w:szCs w:val="21"/>
        </w:rPr>
      </w:pPr>
      <w:r w:rsidRPr="00F82126">
        <w:rPr>
          <w:rFonts w:ascii="宋体" w:eastAsia="宋体" w:hAnsi="宋体" w:cs="黑体" w:hint="eastAsia"/>
          <w:bCs/>
          <w:szCs w:val="21"/>
        </w:rPr>
        <w:t>2月第三周</w:t>
      </w:r>
      <w:r w:rsidR="00F82126">
        <w:rPr>
          <w:rFonts w:ascii="宋体" w:eastAsia="宋体" w:hAnsi="宋体" w:cs="黑体" w:hint="eastAsia"/>
          <w:bCs/>
          <w:szCs w:val="21"/>
        </w:rPr>
        <w:t>厂商</w:t>
      </w:r>
      <w:r w:rsidRPr="00F82126">
        <w:rPr>
          <w:rFonts w:ascii="宋体" w:eastAsia="宋体" w:hAnsi="宋体" w:cs="黑体" w:hint="eastAsia"/>
          <w:bCs/>
          <w:szCs w:val="21"/>
        </w:rPr>
        <w:t>批发6</w:t>
      </w:r>
      <w:r w:rsidRPr="00F82126">
        <w:rPr>
          <w:rFonts w:ascii="宋体" w:eastAsia="宋体" w:hAnsi="宋体" w:cs="黑体"/>
          <w:bCs/>
          <w:szCs w:val="21"/>
        </w:rPr>
        <w:t>.</w:t>
      </w:r>
      <w:r w:rsidR="00484733">
        <w:rPr>
          <w:rFonts w:ascii="宋体" w:eastAsia="宋体" w:hAnsi="宋体" w:cs="黑体"/>
          <w:bCs/>
          <w:szCs w:val="21"/>
        </w:rPr>
        <w:t>2</w:t>
      </w:r>
      <w:r w:rsidR="004E763D" w:rsidRPr="00F82126">
        <w:rPr>
          <w:rFonts w:ascii="宋体" w:eastAsia="宋体" w:hAnsi="宋体" w:cs="黑体" w:hint="eastAsia"/>
          <w:bCs/>
          <w:szCs w:val="21"/>
        </w:rPr>
        <w:t>万辆</w:t>
      </w:r>
      <w:r w:rsidRPr="00F82126">
        <w:rPr>
          <w:rFonts w:ascii="宋体" w:eastAsia="宋体" w:hAnsi="宋体" w:cs="黑体" w:hint="eastAsia"/>
          <w:bCs/>
          <w:szCs w:val="21"/>
        </w:rPr>
        <w:t>，</w:t>
      </w:r>
      <w:r w:rsidR="008171CF" w:rsidRPr="00F82126">
        <w:rPr>
          <w:rFonts w:ascii="宋体" w:eastAsia="宋体" w:hAnsi="宋体" w:cs="黑体" w:hint="eastAsia"/>
          <w:bCs/>
          <w:szCs w:val="21"/>
        </w:rPr>
        <w:t>由于同期的春节因素，因此缺乏有效的上年同期比较，相对历年的节后走势</w:t>
      </w:r>
      <w:r w:rsidR="00484733">
        <w:rPr>
          <w:rFonts w:ascii="宋体" w:eastAsia="宋体" w:hAnsi="宋体" w:cs="黑体" w:hint="eastAsia"/>
          <w:bCs/>
          <w:szCs w:val="21"/>
        </w:rPr>
        <w:t>较</w:t>
      </w:r>
      <w:r w:rsidR="008171CF" w:rsidRPr="00F82126">
        <w:rPr>
          <w:rFonts w:ascii="宋体" w:eastAsia="宋体" w:hAnsi="宋体" w:cs="黑体" w:hint="eastAsia"/>
          <w:bCs/>
          <w:szCs w:val="21"/>
        </w:rPr>
        <w:t>正常</w:t>
      </w:r>
      <w:r w:rsidR="00713780" w:rsidRPr="00F82126">
        <w:rPr>
          <w:rFonts w:ascii="宋体" w:eastAsia="宋体" w:hAnsi="宋体" w:cs="黑体" w:hint="eastAsia"/>
          <w:bCs/>
          <w:szCs w:val="21"/>
        </w:rPr>
        <w:t>。环比1月同期的</w:t>
      </w:r>
      <w:r w:rsidR="00F82126">
        <w:rPr>
          <w:rFonts w:ascii="宋体" w:eastAsia="宋体" w:hAnsi="宋体" w:cs="黑体" w:hint="eastAsia"/>
          <w:bCs/>
          <w:szCs w:val="21"/>
        </w:rPr>
        <w:t>厂商</w:t>
      </w:r>
      <w:r w:rsidR="00713780" w:rsidRPr="00F82126">
        <w:rPr>
          <w:rFonts w:ascii="宋体" w:eastAsia="宋体" w:hAnsi="宋体" w:cs="黑体" w:hint="eastAsia"/>
          <w:bCs/>
          <w:szCs w:val="21"/>
        </w:rPr>
        <w:t>销量下降9%，节后表现较强。</w:t>
      </w:r>
    </w:p>
    <w:p w14:paraId="1CEF2381" w14:textId="77777777" w:rsidR="00FB2F70" w:rsidRPr="00F82126" w:rsidRDefault="00FB2F70" w:rsidP="00FB2F70">
      <w:pPr>
        <w:ind w:firstLineChars="202" w:firstLine="424"/>
        <w:rPr>
          <w:rFonts w:ascii="宋体" w:eastAsia="宋体" w:hAnsi="宋体"/>
          <w:bCs/>
          <w:szCs w:val="21"/>
        </w:rPr>
      </w:pPr>
      <w:r w:rsidRPr="00F82126">
        <w:rPr>
          <w:rFonts w:ascii="宋体" w:eastAsia="宋体" w:hAnsi="宋体" w:hint="eastAsia"/>
          <w:bCs/>
          <w:szCs w:val="21"/>
        </w:rPr>
        <w:t>由于1月节前生产提早停工，</w:t>
      </w:r>
      <w:r w:rsidRPr="00F82126">
        <w:rPr>
          <w:rFonts w:ascii="宋体" w:eastAsia="宋体" w:hAnsi="宋体"/>
          <w:bCs/>
          <w:szCs w:val="21"/>
        </w:rPr>
        <w:t>1月车市</w:t>
      </w:r>
      <w:r w:rsidRPr="00F82126">
        <w:rPr>
          <w:rFonts w:ascii="宋体" w:eastAsia="宋体" w:hAnsi="宋体" w:hint="eastAsia"/>
          <w:bCs/>
          <w:szCs w:val="21"/>
        </w:rPr>
        <w:t>旺销后</w:t>
      </w:r>
      <w:r w:rsidRPr="00F82126">
        <w:rPr>
          <w:rFonts w:ascii="宋体" w:eastAsia="宋体" w:hAnsi="宋体"/>
          <w:bCs/>
          <w:szCs w:val="21"/>
        </w:rPr>
        <w:t>的渠道库存</w:t>
      </w:r>
      <w:r w:rsidRPr="00F82126">
        <w:rPr>
          <w:rFonts w:ascii="宋体" w:eastAsia="宋体" w:hAnsi="宋体" w:hint="eastAsia"/>
          <w:bCs/>
          <w:szCs w:val="21"/>
        </w:rPr>
        <w:t>仍处较低水平</w:t>
      </w:r>
      <w:r w:rsidRPr="00F82126">
        <w:rPr>
          <w:rFonts w:ascii="宋体" w:eastAsia="宋体" w:hAnsi="宋体"/>
          <w:bCs/>
          <w:szCs w:val="21"/>
        </w:rPr>
        <w:t>，</w:t>
      </w:r>
      <w:r w:rsidRPr="00F82126">
        <w:rPr>
          <w:rFonts w:ascii="宋体" w:eastAsia="宋体" w:hAnsi="宋体" w:hint="eastAsia"/>
          <w:bCs/>
          <w:szCs w:val="21"/>
        </w:rPr>
        <w:t>随着节后车企快速恢复正常产销状态，2月的经销商仍有较好补库需求</w:t>
      </w:r>
      <w:r w:rsidRPr="00F82126">
        <w:rPr>
          <w:rFonts w:ascii="宋体" w:eastAsia="宋体" w:hAnsi="宋体"/>
          <w:bCs/>
          <w:szCs w:val="21"/>
        </w:rPr>
        <w:t>。</w:t>
      </w:r>
    </w:p>
    <w:p w14:paraId="450FDB9F" w14:textId="46D23278" w:rsidR="00FB2F70" w:rsidRPr="00F82126" w:rsidRDefault="00FB2F70" w:rsidP="00F82126">
      <w:pPr>
        <w:ind w:firstLineChars="202" w:firstLine="424"/>
        <w:rPr>
          <w:rFonts w:ascii="宋体" w:eastAsia="宋体" w:hAnsi="宋体" w:cs="黑体"/>
          <w:bCs/>
          <w:sz w:val="24"/>
        </w:rPr>
      </w:pPr>
      <w:r w:rsidRPr="00F82126">
        <w:rPr>
          <w:rFonts w:ascii="宋体" w:eastAsia="宋体" w:hAnsi="宋体" w:hint="eastAsia"/>
          <w:bCs/>
          <w:szCs w:val="21"/>
        </w:rPr>
        <w:t>由于今年春节早，</w:t>
      </w:r>
      <w:r w:rsidRPr="00F82126">
        <w:rPr>
          <w:rFonts w:ascii="宋体" w:eastAsia="宋体" w:hAnsi="宋体"/>
          <w:bCs/>
          <w:szCs w:val="21"/>
        </w:rPr>
        <w:t>1月</w:t>
      </w:r>
      <w:r w:rsidRPr="00F82126">
        <w:rPr>
          <w:rFonts w:ascii="宋体" w:eastAsia="宋体" w:hAnsi="宋体" w:hint="eastAsia"/>
          <w:bCs/>
          <w:szCs w:val="21"/>
        </w:rPr>
        <w:t>最后一周</w:t>
      </w:r>
      <w:r w:rsidRPr="00F82126">
        <w:rPr>
          <w:rFonts w:ascii="宋体" w:eastAsia="宋体" w:hAnsi="宋体"/>
          <w:bCs/>
          <w:szCs w:val="21"/>
        </w:rPr>
        <w:t>进入车市的春节休眠期，相对</w:t>
      </w:r>
      <w:r w:rsidRPr="00F82126">
        <w:rPr>
          <w:rFonts w:ascii="宋体" w:eastAsia="宋体" w:hAnsi="宋体" w:hint="eastAsia"/>
          <w:bCs/>
          <w:szCs w:val="21"/>
        </w:rPr>
        <w:t>2</w:t>
      </w:r>
      <w:r w:rsidRPr="00F82126">
        <w:rPr>
          <w:rFonts w:ascii="宋体" w:eastAsia="宋体" w:hAnsi="宋体"/>
          <w:bCs/>
          <w:szCs w:val="21"/>
        </w:rPr>
        <w:t>021年2月少了11天的</w:t>
      </w:r>
      <w:r w:rsidRPr="00F82126">
        <w:rPr>
          <w:rFonts w:ascii="宋体" w:eastAsia="宋体" w:hAnsi="宋体" w:hint="eastAsia"/>
          <w:bCs/>
          <w:szCs w:val="21"/>
        </w:rPr>
        <w:t>节前</w:t>
      </w:r>
      <w:r w:rsidRPr="00F82126">
        <w:rPr>
          <w:rFonts w:ascii="宋体" w:eastAsia="宋体" w:hAnsi="宋体"/>
          <w:bCs/>
          <w:szCs w:val="21"/>
        </w:rPr>
        <w:t>热销期，</w:t>
      </w:r>
      <w:r w:rsidRPr="00F82126">
        <w:rPr>
          <w:rFonts w:ascii="宋体" w:eastAsia="宋体" w:hAnsi="宋体" w:hint="eastAsia"/>
          <w:bCs/>
          <w:szCs w:val="21"/>
        </w:rPr>
        <w:t>但也减少了春节前几天的提早休眠期</w:t>
      </w:r>
      <w:r w:rsidR="008171CF" w:rsidRPr="00F82126">
        <w:rPr>
          <w:rFonts w:ascii="宋体" w:eastAsia="宋体" w:hAnsi="宋体" w:hint="eastAsia"/>
          <w:bCs/>
          <w:szCs w:val="21"/>
        </w:rPr>
        <w:t>。</w:t>
      </w:r>
      <w:r w:rsidR="00F82126">
        <w:rPr>
          <w:rFonts w:ascii="宋体" w:eastAsia="宋体" w:hAnsi="宋体" w:hint="eastAsia"/>
          <w:bCs/>
          <w:szCs w:val="21"/>
        </w:rPr>
        <w:t>厂商</w:t>
      </w:r>
      <w:r w:rsidR="008171CF" w:rsidRPr="00F82126">
        <w:rPr>
          <w:rFonts w:ascii="宋体" w:eastAsia="宋体" w:hAnsi="宋体" w:hint="eastAsia"/>
          <w:bCs/>
          <w:szCs w:val="21"/>
        </w:rPr>
        <w:t>仍有延续增长的意愿</w:t>
      </w:r>
      <w:r w:rsidR="00484733">
        <w:rPr>
          <w:rFonts w:ascii="宋体" w:eastAsia="宋体" w:hAnsi="宋体" w:hint="eastAsia"/>
          <w:bCs/>
          <w:szCs w:val="21"/>
        </w:rPr>
        <w:t>，</w:t>
      </w:r>
      <w:r w:rsidR="008171CF" w:rsidRPr="00F82126">
        <w:rPr>
          <w:rFonts w:ascii="宋体" w:eastAsia="宋体" w:hAnsi="宋体" w:hint="eastAsia"/>
          <w:bCs/>
          <w:szCs w:val="21"/>
        </w:rPr>
        <w:t>春节和节后都在抓紧复工抢交订单，产能持续恢复、供给更贴合市场需求，</w:t>
      </w:r>
      <w:r w:rsidRPr="00F82126">
        <w:rPr>
          <w:rFonts w:ascii="宋体" w:eastAsia="宋体" w:hAnsi="宋体" w:hint="eastAsia"/>
          <w:bCs/>
          <w:szCs w:val="21"/>
        </w:rPr>
        <w:t>因此</w:t>
      </w:r>
      <w:r w:rsidR="00713780" w:rsidRPr="00F82126">
        <w:rPr>
          <w:rFonts w:ascii="宋体" w:eastAsia="宋体" w:hAnsi="宋体" w:hint="eastAsia"/>
          <w:bCs/>
          <w:szCs w:val="21"/>
        </w:rPr>
        <w:t>2月节后复苏较早，</w:t>
      </w:r>
      <w:r w:rsidRPr="00F82126">
        <w:rPr>
          <w:rFonts w:ascii="宋体" w:eastAsia="宋体" w:hAnsi="宋体"/>
          <w:bCs/>
          <w:szCs w:val="21"/>
        </w:rPr>
        <w:t>车市同比增长</w:t>
      </w:r>
      <w:r w:rsidRPr="00F82126">
        <w:rPr>
          <w:rFonts w:ascii="宋体" w:eastAsia="宋体" w:hAnsi="宋体" w:hint="eastAsia"/>
          <w:bCs/>
          <w:szCs w:val="21"/>
        </w:rPr>
        <w:t>会有较好体现</w:t>
      </w:r>
      <w:r w:rsidRPr="00F82126">
        <w:rPr>
          <w:rFonts w:ascii="宋体" w:eastAsia="宋体" w:hAnsi="宋体"/>
          <w:bCs/>
          <w:szCs w:val="21"/>
        </w:rPr>
        <w:t xml:space="preserve">。  </w:t>
      </w:r>
    </w:p>
    <w:p w14:paraId="3B5DDC18" w14:textId="77777777" w:rsidR="00FB2F70" w:rsidRPr="00FB2F70" w:rsidRDefault="00FB2F70" w:rsidP="008B1AEE">
      <w:pPr>
        <w:ind w:firstLineChars="135" w:firstLine="283"/>
        <w:rPr>
          <w:rFonts w:ascii="Calibri" w:eastAsia="宋体" w:hAnsi="Calibri" w:cs="Times New Roman"/>
          <w:szCs w:val="21"/>
        </w:rPr>
      </w:pPr>
    </w:p>
    <w:p w14:paraId="4C0AAC1A" w14:textId="7F1BEA2D" w:rsidR="008B1AEE" w:rsidRPr="00FA2154" w:rsidRDefault="00713780" w:rsidP="008B1AEE">
      <w:pPr>
        <w:numPr>
          <w:ilvl w:val="0"/>
          <w:numId w:val="2"/>
        </w:numPr>
        <w:outlineLvl w:val="1"/>
        <w:rPr>
          <w:rFonts w:ascii="黑体" w:eastAsia="黑体" w:hAnsi="黑体" w:cs="Times New Roman"/>
          <w:b/>
          <w:bCs/>
          <w:sz w:val="24"/>
        </w:rPr>
      </w:pPr>
      <w:r w:rsidRPr="00713780">
        <w:rPr>
          <w:rFonts w:ascii="黑体" w:eastAsia="黑体" w:hAnsi="黑体" w:cs="Times New Roman"/>
          <w:b/>
          <w:bCs/>
          <w:sz w:val="24"/>
        </w:rPr>
        <w:t>2022年1月皮卡市场</w:t>
      </w:r>
      <w:r>
        <w:rPr>
          <w:rFonts w:ascii="黑体" w:eastAsia="黑体" w:hAnsi="黑体" w:cs="Times New Roman" w:hint="eastAsia"/>
          <w:b/>
          <w:bCs/>
          <w:sz w:val="24"/>
        </w:rPr>
        <w:t>同比降1</w:t>
      </w:r>
      <w:r>
        <w:rPr>
          <w:rFonts w:ascii="黑体" w:eastAsia="黑体" w:hAnsi="黑体" w:cs="Times New Roman"/>
          <w:b/>
          <w:bCs/>
          <w:sz w:val="24"/>
        </w:rPr>
        <w:t>2</w:t>
      </w:r>
      <w:r>
        <w:rPr>
          <w:rFonts w:ascii="黑体" w:eastAsia="黑体" w:hAnsi="黑体" w:cs="Times New Roman" w:hint="eastAsia"/>
          <w:b/>
          <w:bCs/>
          <w:sz w:val="24"/>
        </w:rPr>
        <w:t>%</w:t>
      </w:r>
    </w:p>
    <w:p w14:paraId="35802057" w14:textId="77777777" w:rsidR="00FA2154" w:rsidRDefault="00713780" w:rsidP="00FA2154">
      <w:pPr>
        <w:ind w:firstLineChars="200" w:firstLine="420"/>
        <w:rPr>
          <w:rFonts w:ascii="Calibri" w:eastAsia="宋体" w:hAnsi="Calibri" w:cs="Times New Roman"/>
          <w:szCs w:val="21"/>
        </w:rPr>
      </w:pPr>
      <w:r w:rsidRPr="00713780">
        <w:rPr>
          <w:rFonts w:ascii="Calibri" w:eastAsia="宋体" w:hAnsi="Calibri" w:cs="Times New Roman" w:hint="eastAsia"/>
          <w:szCs w:val="21"/>
        </w:rPr>
        <w:t>根据乘联会数据，</w:t>
      </w:r>
      <w:r w:rsidRPr="00713780">
        <w:rPr>
          <w:rFonts w:ascii="Calibri" w:eastAsia="宋体" w:hAnsi="Calibri" w:cs="Times New Roman"/>
          <w:szCs w:val="21"/>
        </w:rPr>
        <w:t>2022</w:t>
      </w:r>
      <w:r w:rsidRPr="00713780">
        <w:rPr>
          <w:rFonts w:ascii="Calibri" w:eastAsia="宋体" w:hAnsi="Calibri" w:cs="Times New Roman"/>
          <w:szCs w:val="21"/>
        </w:rPr>
        <w:t>年</w:t>
      </w:r>
      <w:r w:rsidRPr="00713780">
        <w:rPr>
          <w:rFonts w:ascii="Calibri" w:eastAsia="宋体" w:hAnsi="Calibri" w:cs="Times New Roman"/>
          <w:szCs w:val="21"/>
        </w:rPr>
        <w:t>1</w:t>
      </w:r>
      <w:r w:rsidRPr="00713780">
        <w:rPr>
          <w:rFonts w:ascii="Calibri" w:eastAsia="宋体" w:hAnsi="Calibri" w:cs="Times New Roman"/>
          <w:szCs w:val="21"/>
        </w:rPr>
        <w:t>月份皮卡市场销售</w:t>
      </w:r>
      <w:r w:rsidRPr="00713780">
        <w:rPr>
          <w:rFonts w:ascii="Calibri" w:eastAsia="宋体" w:hAnsi="Calibri" w:cs="Times New Roman"/>
          <w:szCs w:val="21"/>
        </w:rPr>
        <w:t>4.2</w:t>
      </w:r>
      <w:r w:rsidR="004E763D">
        <w:rPr>
          <w:rFonts w:ascii="Calibri" w:eastAsia="宋体" w:hAnsi="Calibri" w:cs="Times New Roman"/>
          <w:szCs w:val="21"/>
        </w:rPr>
        <w:t>万辆</w:t>
      </w:r>
      <w:r w:rsidRPr="00713780">
        <w:rPr>
          <w:rFonts w:ascii="Calibri" w:eastAsia="宋体" w:hAnsi="Calibri" w:cs="Times New Roman"/>
          <w:szCs w:val="21"/>
        </w:rPr>
        <w:t>，同比下降</w:t>
      </w:r>
      <w:r w:rsidRPr="00713780">
        <w:rPr>
          <w:rFonts w:ascii="Calibri" w:eastAsia="宋体" w:hAnsi="Calibri" w:cs="Times New Roman"/>
          <w:szCs w:val="21"/>
        </w:rPr>
        <w:t>12%</w:t>
      </w:r>
      <w:r w:rsidRPr="00713780">
        <w:rPr>
          <w:rFonts w:ascii="Calibri" w:eastAsia="宋体" w:hAnsi="Calibri" w:cs="Times New Roman"/>
          <w:szCs w:val="21"/>
        </w:rPr>
        <w:t>，环比下降</w:t>
      </w:r>
      <w:r w:rsidRPr="00713780">
        <w:rPr>
          <w:rFonts w:ascii="Calibri" w:eastAsia="宋体" w:hAnsi="Calibri" w:cs="Times New Roman"/>
          <w:szCs w:val="21"/>
        </w:rPr>
        <w:t>29%</w:t>
      </w:r>
      <w:r w:rsidRPr="00713780">
        <w:rPr>
          <w:rFonts w:ascii="Calibri" w:eastAsia="宋体" w:hAnsi="Calibri" w:cs="Times New Roman"/>
          <w:szCs w:val="21"/>
        </w:rPr>
        <w:t>。由于疫情后皮卡消费回暖较强，导致</w:t>
      </w:r>
      <w:r w:rsidR="00FA2154">
        <w:rPr>
          <w:rFonts w:ascii="Calibri" w:eastAsia="宋体" w:hAnsi="Calibri" w:cs="Times New Roman" w:hint="eastAsia"/>
          <w:szCs w:val="21"/>
        </w:rPr>
        <w:t>2</w:t>
      </w:r>
      <w:r w:rsidR="00FA2154">
        <w:rPr>
          <w:rFonts w:ascii="Calibri" w:eastAsia="宋体" w:hAnsi="Calibri" w:cs="Times New Roman"/>
          <w:szCs w:val="21"/>
        </w:rPr>
        <w:t>0</w:t>
      </w:r>
      <w:r w:rsidRPr="00713780">
        <w:rPr>
          <w:rFonts w:ascii="Calibri" w:eastAsia="宋体" w:hAnsi="Calibri" w:cs="Times New Roman"/>
          <w:szCs w:val="21"/>
        </w:rPr>
        <w:t>21</w:t>
      </w:r>
      <w:r w:rsidRPr="00713780">
        <w:rPr>
          <w:rFonts w:ascii="Calibri" w:eastAsia="宋体" w:hAnsi="Calibri" w:cs="Times New Roman"/>
          <w:szCs w:val="21"/>
        </w:rPr>
        <w:t>年</w:t>
      </w:r>
      <w:r w:rsidRPr="00713780">
        <w:rPr>
          <w:rFonts w:ascii="Calibri" w:eastAsia="宋体" w:hAnsi="Calibri" w:cs="Times New Roman"/>
          <w:szCs w:val="21"/>
        </w:rPr>
        <w:t>1</w:t>
      </w:r>
      <w:r w:rsidRPr="00713780">
        <w:rPr>
          <w:rFonts w:ascii="Calibri" w:eastAsia="宋体" w:hAnsi="Calibri" w:cs="Times New Roman"/>
          <w:szCs w:val="21"/>
        </w:rPr>
        <w:t>月皮卡同比</w:t>
      </w:r>
      <w:r w:rsidRPr="00713780">
        <w:rPr>
          <w:rFonts w:ascii="Calibri" w:eastAsia="宋体" w:hAnsi="Calibri" w:cs="Times New Roman"/>
          <w:szCs w:val="21"/>
        </w:rPr>
        <w:t>2019</w:t>
      </w:r>
      <w:r w:rsidRPr="00713780">
        <w:rPr>
          <w:rFonts w:ascii="Calibri" w:eastAsia="宋体" w:hAnsi="Calibri" w:cs="Times New Roman"/>
          <w:szCs w:val="21"/>
        </w:rPr>
        <w:t>年增长</w:t>
      </w:r>
      <w:r w:rsidRPr="00713780">
        <w:rPr>
          <w:rFonts w:ascii="Calibri" w:eastAsia="宋体" w:hAnsi="Calibri" w:cs="Times New Roman"/>
          <w:szCs w:val="21"/>
        </w:rPr>
        <w:t>35%</w:t>
      </w:r>
      <w:r w:rsidRPr="00713780">
        <w:rPr>
          <w:rFonts w:ascii="Calibri" w:eastAsia="宋体" w:hAnsi="Calibri" w:cs="Times New Roman"/>
          <w:szCs w:val="21"/>
        </w:rPr>
        <w:t>的</w:t>
      </w:r>
      <w:r w:rsidR="00FA2154">
        <w:rPr>
          <w:rFonts w:ascii="Calibri" w:eastAsia="宋体" w:hAnsi="Calibri" w:cs="Times New Roman" w:hint="eastAsia"/>
          <w:szCs w:val="21"/>
        </w:rPr>
        <w:t>较强</w:t>
      </w:r>
      <w:r w:rsidRPr="00713780">
        <w:rPr>
          <w:rFonts w:ascii="Calibri" w:eastAsia="宋体" w:hAnsi="Calibri" w:cs="Times New Roman"/>
          <w:szCs w:val="21"/>
        </w:rPr>
        <w:t>表现。相对于轻卡的低迷，今年</w:t>
      </w:r>
      <w:r w:rsidRPr="00713780">
        <w:rPr>
          <w:rFonts w:ascii="Calibri" w:eastAsia="宋体" w:hAnsi="Calibri" w:cs="Times New Roman"/>
          <w:szCs w:val="21"/>
        </w:rPr>
        <w:t>1</w:t>
      </w:r>
      <w:r w:rsidRPr="00713780">
        <w:rPr>
          <w:rFonts w:ascii="Calibri" w:eastAsia="宋体" w:hAnsi="Calibri" w:cs="Times New Roman"/>
          <w:szCs w:val="21"/>
        </w:rPr>
        <w:t>月的皮卡市场依旧走势较强。</w:t>
      </w:r>
    </w:p>
    <w:p w14:paraId="5079477F" w14:textId="43CF8554" w:rsidR="008B1AEE" w:rsidRDefault="00713780" w:rsidP="00FA2154">
      <w:pPr>
        <w:ind w:firstLineChars="200" w:firstLine="420"/>
        <w:rPr>
          <w:rFonts w:ascii="Calibri" w:eastAsia="宋体" w:hAnsi="Calibri" w:cs="Times New Roman"/>
          <w:szCs w:val="21"/>
        </w:rPr>
      </w:pPr>
      <w:r w:rsidRPr="00713780">
        <w:rPr>
          <w:rFonts w:ascii="Calibri" w:eastAsia="宋体" w:hAnsi="Calibri" w:cs="Times New Roman" w:hint="eastAsia"/>
          <w:szCs w:val="21"/>
        </w:rPr>
        <w:t>在国家汽车三包政策、路权政策对皮卡消费的大力支持，主力车企推出乘用化皮卡产品、皮卡文化日益活跃的共同推动下，皮卡市场</w:t>
      </w:r>
      <w:r w:rsidRPr="00713780">
        <w:rPr>
          <w:rFonts w:ascii="Calibri" w:eastAsia="宋体" w:hAnsi="Calibri" w:cs="Times New Roman"/>
          <w:szCs w:val="21"/>
        </w:rPr>
        <w:t>2021</w:t>
      </w:r>
      <w:r w:rsidRPr="00713780">
        <w:rPr>
          <w:rFonts w:ascii="Calibri" w:eastAsia="宋体" w:hAnsi="Calibri" w:cs="Times New Roman"/>
          <w:szCs w:val="21"/>
        </w:rPr>
        <w:t>年消费持续高增长，最终</w:t>
      </w:r>
      <w:r w:rsidRPr="00713780">
        <w:rPr>
          <w:rFonts w:ascii="Calibri" w:eastAsia="宋体" w:hAnsi="Calibri" w:cs="Times New Roman"/>
          <w:szCs w:val="21"/>
        </w:rPr>
        <w:t>2022</w:t>
      </w:r>
      <w:r w:rsidRPr="00713780">
        <w:rPr>
          <w:rFonts w:ascii="Calibri" w:eastAsia="宋体" w:hAnsi="Calibri" w:cs="Times New Roman"/>
          <w:szCs w:val="21"/>
        </w:rPr>
        <w:t>年</w:t>
      </w:r>
      <w:r w:rsidRPr="00713780">
        <w:rPr>
          <w:rFonts w:ascii="Calibri" w:eastAsia="宋体" w:hAnsi="Calibri" w:cs="Times New Roman"/>
          <w:szCs w:val="21"/>
        </w:rPr>
        <w:t>1</w:t>
      </w:r>
      <w:r w:rsidRPr="00713780">
        <w:rPr>
          <w:rFonts w:ascii="Calibri" w:eastAsia="宋体" w:hAnsi="Calibri" w:cs="Times New Roman"/>
          <w:szCs w:val="21"/>
        </w:rPr>
        <w:t>月皮卡同比</w:t>
      </w:r>
      <w:r w:rsidRPr="00713780">
        <w:rPr>
          <w:rFonts w:ascii="Calibri" w:eastAsia="宋体" w:hAnsi="Calibri" w:cs="Times New Roman"/>
          <w:szCs w:val="21"/>
        </w:rPr>
        <w:t>2019</w:t>
      </w:r>
      <w:r w:rsidRPr="00713780">
        <w:rPr>
          <w:rFonts w:ascii="Calibri" w:eastAsia="宋体" w:hAnsi="Calibri" w:cs="Times New Roman"/>
          <w:szCs w:val="21"/>
        </w:rPr>
        <w:t>年实现增长的良好业绩，进一步坚定皮卡市场的发展信心。</w:t>
      </w:r>
    </w:p>
    <w:p w14:paraId="3642F29C" w14:textId="385AF511" w:rsidR="00537C54" w:rsidRDefault="00537C54" w:rsidP="00537C54">
      <w:pPr>
        <w:ind w:firstLineChars="202" w:firstLine="424"/>
      </w:pPr>
      <w:r>
        <w:rPr>
          <w:rFonts w:hint="eastAsia"/>
        </w:rPr>
        <w:t>未来一段时间</w:t>
      </w:r>
      <w:r w:rsidRPr="00BA65E0">
        <w:rPr>
          <w:rFonts w:hint="eastAsia"/>
        </w:rPr>
        <w:t>皮卡市场的</w:t>
      </w:r>
      <w:r>
        <w:rPr>
          <w:rFonts w:hint="eastAsia"/>
        </w:rPr>
        <w:t>增长压力较大，尤其是房地产低迷带来皮卡需求不强，但皮卡仍有强于总体商用车</w:t>
      </w:r>
      <w:r w:rsidR="00FA2154">
        <w:rPr>
          <w:rFonts w:hint="eastAsia"/>
        </w:rPr>
        <w:t>市场</w:t>
      </w:r>
      <w:r>
        <w:rPr>
          <w:rFonts w:hint="eastAsia"/>
        </w:rPr>
        <w:t>的良好表现</w:t>
      </w:r>
      <w:r w:rsidRPr="00BA65E0">
        <w:rPr>
          <w:rFonts w:hint="eastAsia"/>
        </w:rPr>
        <w:t>。首先，</w:t>
      </w:r>
      <w:r>
        <w:rPr>
          <w:rFonts w:hint="eastAsia"/>
        </w:rPr>
        <w:t>近期国内局部疫情后的需求反弹</w:t>
      </w:r>
      <w:r w:rsidRPr="00BA65E0">
        <w:rPr>
          <w:rFonts w:hint="eastAsia"/>
        </w:rPr>
        <w:t>为市场的持续恢复</w:t>
      </w:r>
      <w:r>
        <w:rPr>
          <w:rFonts w:hint="eastAsia"/>
        </w:rPr>
        <w:t>带来增量</w:t>
      </w:r>
      <w:r w:rsidRPr="00BA65E0">
        <w:rPr>
          <w:rFonts w:hint="eastAsia"/>
        </w:rPr>
        <w:t>。其次，</w:t>
      </w:r>
      <w:r>
        <w:rPr>
          <w:rFonts w:hint="eastAsia"/>
        </w:rPr>
        <w:t>皮卡的消费文化逐步兴起，各</w:t>
      </w:r>
      <w:r w:rsidR="00F82126">
        <w:rPr>
          <w:rFonts w:hint="eastAsia"/>
        </w:rPr>
        <w:t>厂商</w:t>
      </w:r>
      <w:r>
        <w:rPr>
          <w:rFonts w:hint="eastAsia"/>
        </w:rPr>
        <w:t>努力提升皮卡消费的效果也会</w:t>
      </w:r>
      <w:r w:rsidR="00FA2154">
        <w:rPr>
          <w:rFonts w:hint="eastAsia"/>
        </w:rPr>
        <w:t>显现</w:t>
      </w:r>
      <w:r w:rsidRPr="00BA65E0">
        <w:rPr>
          <w:rFonts w:hint="eastAsia"/>
        </w:rPr>
        <w:t>。</w:t>
      </w:r>
      <w:r>
        <w:rPr>
          <w:rFonts w:hint="eastAsia"/>
        </w:rPr>
        <w:t>而</w:t>
      </w:r>
      <w:r w:rsidRPr="00BA65E0">
        <w:rPr>
          <w:rFonts w:hint="eastAsia"/>
        </w:rPr>
        <w:t>皮卡市场</w:t>
      </w:r>
      <w:r>
        <w:rPr>
          <w:rFonts w:hint="eastAsia"/>
        </w:rPr>
        <w:t>受益于乘用化市场扩张</w:t>
      </w:r>
      <w:r w:rsidRPr="00BA65E0">
        <w:rPr>
          <w:rFonts w:hint="eastAsia"/>
        </w:rPr>
        <w:t>的效应也将进一步</w:t>
      </w:r>
      <w:r w:rsidR="00FA2154">
        <w:rPr>
          <w:rFonts w:hint="eastAsia"/>
        </w:rPr>
        <w:t>凸显</w:t>
      </w:r>
      <w:r w:rsidRPr="00BA65E0">
        <w:rPr>
          <w:rFonts w:hint="eastAsia"/>
        </w:rPr>
        <w:t>。</w:t>
      </w:r>
    </w:p>
    <w:p w14:paraId="5C835AE5" w14:textId="77777777" w:rsidR="00537C54" w:rsidRPr="00537C54" w:rsidRDefault="00537C54" w:rsidP="00713780">
      <w:pPr>
        <w:ind w:firstLineChars="270" w:firstLine="567"/>
        <w:rPr>
          <w:rFonts w:ascii="Calibri" w:eastAsia="宋体" w:hAnsi="Calibri" w:cs="Times New Roman"/>
          <w:szCs w:val="21"/>
        </w:rPr>
      </w:pPr>
    </w:p>
    <w:p w14:paraId="4F1C70FB" w14:textId="10C5988F" w:rsidR="00537C54" w:rsidRPr="00537C54" w:rsidRDefault="00537C54" w:rsidP="00AD7C74">
      <w:pPr>
        <w:numPr>
          <w:ilvl w:val="0"/>
          <w:numId w:val="2"/>
        </w:numPr>
        <w:outlineLvl w:val="1"/>
        <w:rPr>
          <w:rFonts w:ascii="黑体" w:eastAsia="黑体" w:hAnsi="黑体" w:cs="Times New Roman"/>
          <w:bCs/>
          <w:sz w:val="24"/>
        </w:rPr>
      </w:pPr>
      <w:r w:rsidRPr="00537C54">
        <w:rPr>
          <w:rFonts w:ascii="黑体" w:eastAsia="黑体" w:hAnsi="黑体" w:cs="Times New Roman"/>
          <w:bCs/>
          <w:sz w:val="24"/>
        </w:rPr>
        <w:t>2022年1月新能源专用车</w:t>
      </w:r>
      <w:r w:rsidRPr="00537C54">
        <w:rPr>
          <w:rFonts w:ascii="黑体" w:eastAsia="黑体" w:hAnsi="黑体" w:cs="Times New Roman" w:hint="eastAsia"/>
          <w:bCs/>
          <w:sz w:val="24"/>
        </w:rPr>
        <w:t>同比增长5</w:t>
      </w:r>
      <w:r w:rsidRPr="00537C54">
        <w:rPr>
          <w:rFonts w:ascii="黑体" w:eastAsia="黑体" w:hAnsi="黑体" w:cs="Times New Roman"/>
          <w:bCs/>
          <w:sz w:val="24"/>
        </w:rPr>
        <w:t>7</w:t>
      </w:r>
      <w:r w:rsidRPr="00537C54">
        <w:rPr>
          <w:rFonts w:ascii="黑体" w:eastAsia="黑体" w:hAnsi="黑体" w:cs="Times New Roman" w:hint="eastAsia"/>
          <w:bCs/>
          <w:sz w:val="24"/>
        </w:rPr>
        <w:t>%</w:t>
      </w:r>
    </w:p>
    <w:p w14:paraId="4267C408" w14:textId="77777777" w:rsidR="00537C54" w:rsidRPr="00537C54" w:rsidRDefault="00537C54" w:rsidP="00FA2154">
      <w:pPr>
        <w:ind w:firstLineChars="200" w:firstLine="420"/>
        <w:rPr>
          <w:rFonts w:ascii="Calibri" w:eastAsia="宋体" w:hAnsi="Calibri" w:cs="Times New Roman"/>
          <w:szCs w:val="21"/>
        </w:rPr>
      </w:pPr>
      <w:r w:rsidRPr="00537C54">
        <w:rPr>
          <w:rFonts w:ascii="Calibri" w:eastAsia="宋体" w:hAnsi="Calibri" w:cs="Times New Roman" w:hint="eastAsia"/>
          <w:szCs w:val="21"/>
        </w:rPr>
        <w:t>近</w:t>
      </w:r>
      <w:r w:rsidRPr="00537C54">
        <w:rPr>
          <w:rFonts w:ascii="Calibri" w:eastAsia="宋体" w:hAnsi="Calibri" w:cs="Times New Roman"/>
          <w:szCs w:val="21"/>
        </w:rPr>
        <w:t>5</w:t>
      </w:r>
      <w:r w:rsidRPr="00537C54">
        <w:rPr>
          <w:rFonts w:ascii="Calibri" w:eastAsia="宋体" w:hAnsi="Calibri" w:cs="Times New Roman"/>
          <w:szCs w:val="21"/>
        </w:rPr>
        <w:t>年来，我国城市快递物流行业快速发展，城市内短途派送运力需求持续大增，为具有零排放、适合短途配送等特点的电动物流车带来了巨大的市场机会。</w:t>
      </w:r>
    </w:p>
    <w:p w14:paraId="21D849AA" w14:textId="1FF185CB" w:rsidR="00537C54" w:rsidRPr="00537C54" w:rsidRDefault="00537C54" w:rsidP="00537C54">
      <w:pPr>
        <w:ind w:firstLineChars="270" w:firstLine="567"/>
        <w:rPr>
          <w:rFonts w:ascii="Calibri" w:eastAsia="宋体" w:hAnsi="Calibri" w:cs="Times New Roman"/>
          <w:szCs w:val="21"/>
        </w:rPr>
      </w:pPr>
      <w:r w:rsidRPr="00537C54">
        <w:rPr>
          <w:rFonts w:ascii="Calibri" w:eastAsia="宋体" w:hAnsi="Calibri" w:cs="Times New Roman"/>
          <w:szCs w:val="21"/>
        </w:rPr>
        <w:t>2020</w:t>
      </w:r>
      <w:r w:rsidRPr="00537C54">
        <w:rPr>
          <w:rFonts w:ascii="Calibri" w:eastAsia="宋体" w:hAnsi="Calibri" w:cs="Times New Roman"/>
          <w:szCs w:val="21"/>
        </w:rPr>
        <w:t>年新能源专用车</w:t>
      </w:r>
      <w:r w:rsidRPr="00537C54">
        <w:rPr>
          <w:rFonts w:ascii="Calibri" w:eastAsia="宋体" w:hAnsi="Calibri" w:cs="Times New Roman"/>
          <w:szCs w:val="21"/>
        </w:rPr>
        <w:t>7.1</w:t>
      </w:r>
      <w:r w:rsidR="004E763D">
        <w:rPr>
          <w:rFonts w:ascii="Calibri" w:eastAsia="宋体" w:hAnsi="Calibri" w:cs="Times New Roman"/>
          <w:szCs w:val="21"/>
        </w:rPr>
        <w:t>万辆</w:t>
      </w:r>
      <w:r w:rsidRPr="00537C54">
        <w:rPr>
          <w:rFonts w:ascii="Calibri" w:eastAsia="宋体" w:hAnsi="Calibri" w:cs="Times New Roman"/>
          <w:szCs w:val="21"/>
        </w:rPr>
        <w:t>的走势相对较平稳。</w:t>
      </w:r>
      <w:r w:rsidRPr="00537C54">
        <w:rPr>
          <w:rFonts w:ascii="Calibri" w:eastAsia="宋体" w:hAnsi="Calibri" w:cs="Times New Roman"/>
          <w:szCs w:val="21"/>
        </w:rPr>
        <w:t>2021</w:t>
      </w:r>
      <w:r w:rsidRPr="00537C54">
        <w:rPr>
          <w:rFonts w:ascii="Calibri" w:eastAsia="宋体" w:hAnsi="Calibri" w:cs="Times New Roman"/>
          <w:szCs w:val="21"/>
        </w:rPr>
        <w:t>年</w:t>
      </w:r>
      <w:r w:rsidR="00015F61">
        <w:rPr>
          <w:rFonts w:ascii="Calibri" w:eastAsia="宋体" w:hAnsi="Calibri" w:cs="Times New Roman" w:hint="eastAsia"/>
          <w:szCs w:val="21"/>
        </w:rPr>
        <w:t>新能源专用车销量</w:t>
      </w:r>
      <w:r w:rsidRPr="00537C54">
        <w:rPr>
          <w:rFonts w:ascii="Calibri" w:eastAsia="宋体" w:hAnsi="Calibri" w:cs="Times New Roman"/>
          <w:szCs w:val="21"/>
        </w:rPr>
        <w:t>达到</w:t>
      </w:r>
      <w:r w:rsidRPr="00537C54">
        <w:rPr>
          <w:rFonts w:ascii="Calibri" w:eastAsia="宋体" w:hAnsi="Calibri" w:cs="Times New Roman"/>
          <w:szCs w:val="21"/>
        </w:rPr>
        <w:t>16</w:t>
      </w:r>
      <w:r w:rsidR="004E763D">
        <w:rPr>
          <w:rFonts w:ascii="Calibri" w:eastAsia="宋体" w:hAnsi="Calibri" w:cs="Times New Roman"/>
          <w:szCs w:val="21"/>
        </w:rPr>
        <w:t>万辆</w:t>
      </w:r>
      <w:r w:rsidRPr="00537C54">
        <w:rPr>
          <w:rFonts w:ascii="Calibri" w:eastAsia="宋体" w:hAnsi="Calibri" w:cs="Times New Roman"/>
          <w:szCs w:val="21"/>
        </w:rPr>
        <w:t>，增速</w:t>
      </w:r>
      <w:r w:rsidRPr="00537C54">
        <w:rPr>
          <w:rFonts w:ascii="Calibri" w:eastAsia="宋体" w:hAnsi="Calibri" w:cs="Times New Roman"/>
          <w:szCs w:val="21"/>
        </w:rPr>
        <w:t>126%</w:t>
      </w:r>
      <w:r w:rsidRPr="00537C54">
        <w:rPr>
          <w:rFonts w:ascii="Calibri" w:eastAsia="宋体" w:hAnsi="Calibri" w:cs="Times New Roman"/>
          <w:szCs w:val="21"/>
        </w:rPr>
        <w:t>，高于同期增速</w:t>
      </w:r>
      <w:r w:rsidRPr="00537C54">
        <w:rPr>
          <w:rFonts w:ascii="Calibri" w:eastAsia="宋体" w:hAnsi="Calibri" w:cs="Times New Roman"/>
          <w:szCs w:val="21"/>
        </w:rPr>
        <w:t>103</w:t>
      </w:r>
      <w:r w:rsidRPr="00537C54">
        <w:rPr>
          <w:rFonts w:ascii="Calibri" w:eastAsia="宋体" w:hAnsi="Calibri" w:cs="Times New Roman"/>
          <w:szCs w:val="21"/>
        </w:rPr>
        <w:t>个百分点，增长巨大，这也</w:t>
      </w:r>
      <w:r w:rsidR="00FA2154">
        <w:rPr>
          <w:rFonts w:ascii="Calibri" w:eastAsia="宋体" w:hAnsi="Calibri" w:cs="Times New Roman" w:hint="eastAsia"/>
          <w:szCs w:val="21"/>
        </w:rPr>
        <w:t>有</w:t>
      </w:r>
      <w:r w:rsidRPr="00537C54">
        <w:rPr>
          <w:rFonts w:ascii="Calibri" w:eastAsia="宋体" w:hAnsi="Calibri" w:cs="Times New Roman"/>
          <w:szCs w:val="21"/>
        </w:rPr>
        <w:t>低基数的因素。</w:t>
      </w:r>
      <w:r w:rsidRPr="00537C54">
        <w:rPr>
          <w:rFonts w:ascii="Calibri" w:eastAsia="宋体" w:hAnsi="Calibri" w:cs="Times New Roman"/>
          <w:szCs w:val="21"/>
        </w:rPr>
        <w:t>2022</w:t>
      </w:r>
      <w:r w:rsidRPr="00537C54">
        <w:rPr>
          <w:rFonts w:ascii="Calibri" w:eastAsia="宋体" w:hAnsi="Calibri" w:cs="Times New Roman"/>
          <w:szCs w:val="21"/>
        </w:rPr>
        <w:t>年</w:t>
      </w:r>
      <w:r w:rsidRPr="00537C54">
        <w:rPr>
          <w:rFonts w:ascii="Calibri" w:eastAsia="宋体" w:hAnsi="Calibri" w:cs="Times New Roman"/>
          <w:szCs w:val="21"/>
        </w:rPr>
        <w:t>1</w:t>
      </w:r>
      <w:r w:rsidRPr="00537C54">
        <w:rPr>
          <w:rFonts w:ascii="Calibri" w:eastAsia="宋体" w:hAnsi="Calibri" w:cs="Times New Roman"/>
          <w:szCs w:val="21"/>
        </w:rPr>
        <w:t>月</w:t>
      </w:r>
      <w:r w:rsidR="00015F61">
        <w:rPr>
          <w:rFonts w:ascii="Calibri" w:eastAsia="宋体" w:hAnsi="Calibri" w:cs="Times New Roman" w:hint="eastAsia"/>
          <w:szCs w:val="21"/>
        </w:rPr>
        <w:t>新能源专用车</w:t>
      </w:r>
      <w:r w:rsidRPr="00537C54">
        <w:rPr>
          <w:rFonts w:ascii="Calibri" w:eastAsia="宋体" w:hAnsi="Calibri" w:cs="Times New Roman"/>
          <w:szCs w:val="21"/>
        </w:rPr>
        <w:t>销量</w:t>
      </w:r>
      <w:r w:rsidRPr="00537C54">
        <w:rPr>
          <w:rFonts w:ascii="Calibri" w:eastAsia="宋体" w:hAnsi="Calibri" w:cs="Times New Roman"/>
          <w:szCs w:val="21"/>
        </w:rPr>
        <w:t>0.75</w:t>
      </w:r>
      <w:r w:rsidR="004E763D">
        <w:rPr>
          <w:rFonts w:ascii="Calibri" w:eastAsia="宋体" w:hAnsi="Calibri" w:cs="Times New Roman"/>
          <w:szCs w:val="21"/>
        </w:rPr>
        <w:t>万辆</w:t>
      </w:r>
      <w:r w:rsidRPr="00537C54">
        <w:rPr>
          <w:rFonts w:ascii="Calibri" w:eastAsia="宋体" w:hAnsi="Calibri" w:cs="Times New Roman"/>
          <w:szCs w:val="21"/>
        </w:rPr>
        <w:t>，同比增长</w:t>
      </w:r>
      <w:r w:rsidRPr="00537C54">
        <w:rPr>
          <w:rFonts w:ascii="Calibri" w:eastAsia="宋体" w:hAnsi="Calibri" w:cs="Times New Roman"/>
          <w:szCs w:val="21"/>
        </w:rPr>
        <w:t>57%</w:t>
      </w:r>
      <w:r w:rsidRPr="00537C54">
        <w:rPr>
          <w:rFonts w:ascii="Calibri" w:eastAsia="宋体" w:hAnsi="Calibri" w:cs="Times New Roman"/>
          <w:szCs w:val="21"/>
        </w:rPr>
        <w:t>的表现很好，</w:t>
      </w:r>
      <w:r w:rsidR="00015F61">
        <w:rPr>
          <w:rFonts w:ascii="Calibri" w:eastAsia="宋体" w:hAnsi="Calibri" w:cs="Times New Roman" w:hint="eastAsia"/>
          <w:szCs w:val="21"/>
        </w:rPr>
        <w:t>但因为新能源补贴退坡因素，</w:t>
      </w:r>
      <w:r w:rsidR="00015F61">
        <w:rPr>
          <w:rFonts w:ascii="Calibri" w:eastAsia="宋体" w:hAnsi="Calibri" w:cs="Times New Roman" w:hint="eastAsia"/>
          <w:szCs w:val="21"/>
        </w:rPr>
        <w:t>1</w:t>
      </w:r>
      <w:r w:rsidR="00015F61">
        <w:rPr>
          <w:rFonts w:ascii="Calibri" w:eastAsia="宋体" w:hAnsi="Calibri" w:cs="Times New Roman" w:hint="eastAsia"/>
          <w:szCs w:val="21"/>
        </w:rPr>
        <w:t>月新能源专用车环比</w:t>
      </w:r>
      <w:r w:rsidR="00015F61">
        <w:rPr>
          <w:rFonts w:ascii="Calibri" w:eastAsia="宋体" w:hAnsi="Calibri" w:cs="Times New Roman" w:hint="eastAsia"/>
          <w:szCs w:val="21"/>
        </w:rPr>
        <w:t>1</w:t>
      </w:r>
      <w:r w:rsidR="00015F61">
        <w:rPr>
          <w:rFonts w:ascii="Calibri" w:eastAsia="宋体" w:hAnsi="Calibri" w:cs="Times New Roman"/>
          <w:szCs w:val="21"/>
        </w:rPr>
        <w:t>2</w:t>
      </w:r>
      <w:r w:rsidR="00015F61">
        <w:rPr>
          <w:rFonts w:ascii="Calibri" w:eastAsia="宋体" w:hAnsi="Calibri" w:cs="Times New Roman" w:hint="eastAsia"/>
          <w:szCs w:val="21"/>
        </w:rPr>
        <w:t>月下降幅度仍达到</w:t>
      </w:r>
      <w:r w:rsidR="00015F61">
        <w:rPr>
          <w:rFonts w:ascii="Calibri" w:eastAsia="宋体" w:hAnsi="Calibri" w:cs="Times New Roman" w:hint="eastAsia"/>
          <w:szCs w:val="21"/>
        </w:rPr>
        <w:t>7</w:t>
      </w:r>
      <w:r w:rsidR="00015F61">
        <w:rPr>
          <w:rFonts w:ascii="Calibri" w:eastAsia="宋体" w:hAnsi="Calibri" w:cs="Times New Roman"/>
          <w:szCs w:val="21"/>
        </w:rPr>
        <w:t>0</w:t>
      </w:r>
      <w:r w:rsidR="00015F61">
        <w:rPr>
          <w:rFonts w:ascii="Calibri" w:eastAsia="宋体" w:hAnsi="Calibri" w:cs="Times New Roman" w:hint="eastAsia"/>
          <w:szCs w:val="21"/>
        </w:rPr>
        <w:t>%</w:t>
      </w:r>
      <w:r w:rsidR="00015F61">
        <w:rPr>
          <w:rFonts w:ascii="Calibri" w:eastAsia="宋体" w:hAnsi="Calibri" w:cs="Times New Roman" w:hint="eastAsia"/>
          <w:szCs w:val="21"/>
        </w:rPr>
        <w:t>，与历年水平基本同步</w:t>
      </w:r>
      <w:r w:rsidRPr="00537C54">
        <w:rPr>
          <w:rFonts w:ascii="Calibri" w:eastAsia="宋体" w:hAnsi="Calibri" w:cs="Times New Roman"/>
          <w:szCs w:val="21"/>
        </w:rPr>
        <w:t>。</w:t>
      </w:r>
    </w:p>
    <w:p w14:paraId="756FC289" w14:textId="03DAB674" w:rsidR="00015F61" w:rsidRPr="00537C54" w:rsidRDefault="00537C54" w:rsidP="00FA2154">
      <w:pPr>
        <w:ind w:firstLineChars="200" w:firstLine="420"/>
        <w:rPr>
          <w:rFonts w:ascii="Calibri" w:eastAsia="宋体" w:hAnsi="Calibri" w:cs="Times New Roman"/>
          <w:szCs w:val="21"/>
        </w:rPr>
      </w:pPr>
      <w:r w:rsidRPr="00537C54">
        <w:rPr>
          <w:rFonts w:ascii="Calibri" w:eastAsia="宋体" w:hAnsi="Calibri" w:cs="Times New Roman" w:hint="eastAsia"/>
          <w:szCs w:val="21"/>
        </w:rPr>
        <w:t>随着蓝天保卫战的持续推进，柴油车的发展面临巨大危机，非限购大中城市的新能源车占比增长较快。路权是新能源物流车的核心，电动物流车获得优势路权，促进行业发展，在使用成本方面，新能源汽车理论上大有优势，但目前技术差，体现的不充分</w:t>
      </w:r>
      <w:r w:rsidR="00015F61">
        <w:rPr>
          <w:rFonts w:ascii="Calibri" w:eastAsia="宋体" w:hAnsi="Calibri" w:cs="Times New Roman" w:hint="eastAsia"/>
          <w:szCs w:val="21"/>
        </w:rPr>
        <w:t>。</w:t>
      </w:r>
      <w:r w:rsidRPr="00537C54">
        <w:rPr>
          <w:rFonts w:ascii="Calibri" w:eastAsia="宋体" w:hAnsi="Calibri" w:cs="Times New Roman" w:hint="eastAsia"/>
          <w:szCs w:val="21"/>
        </w:rPr>
        <w:t>未来只有产品加速设计提升，才能实现更好替代。</w:t>
      </w:r>
      <w:r w:rsidR="00015F61">
        <w:rPr>
          <w:rFonts w:ascii="Calibri" w:eastAsia="宋体" w:hAnsi="Calibri" w:cs="Times New Roman" w:hint="eastAsia"/>
          <w:szCs w:val="21"/>
        </w:rPr>
        <w:t>由于轻卡、轻客的传统车市场下行压力较大</w:t>
      </w:r>
      <w:r w:rsidR="00015F61" w:rsidRPr="00537C54">
        <w:rPr>
          <w:rFonts w:ascii="Calibri" w:eastAsia="宋体" w:hAnsi="Calibri" w:cs="Times New Roman" w:hint="eastAsia"/>
          <w:szCs w:val="21"/>
        </w:rPr>
        <w:t>，今年新能源专用车走势将大幅强于传统轻型车市场。</w:t>
      </w:r>
    </w:p>
    <w:p w14:paraId="019E7D15" w14:textId="5CA89ED3" w:rsidR="008B1AEE" w:rsidRPr="00537C54" w:rsidRDefault="008B1AEE" w:rsidP="00537C54">
      <w:pPr>
        <w:ind w:firstLineChars="270" w:firstLine="567"/>
        <w:rPr>
          <w:rFonts w:ascii="Calibri" w:eastAsia="宋体" w:hAnsi="Calibri" w:cs="Times New Roman"/>
          <w:szCs w:val="21"/>
        </w:rPr>
      </w:pPr>
    </w:p>
    <w:p w14:paraId="38313571" w14:textId="46AD4C6B" w:rsidR="008B1AEE" w:rsidRPr="002009FE" w:rsidRDefault="00537C54" w:rsidP="008B1AEE">
      <w:pPr>
        <w:numPr>
          <w:ilvl w:val="0"/>
          <w:numId w:val="2"/>
        </w:numPr>
        <w:outlineLvl w:val="1"/>
        <w:rPr>
          <w:rFonts w:ascii="黑体" w:eastAsia="黑体" w:hAnsi="黑体" w:cs="黑体"/>
          <w:bCs/>
          <w:sz w:val="24"/>
        </w:rPr>
      </w:pPr>
      <w:r w:rsidRPr="00537C54">
        <w:rPr>
          <w:rFonts w:ascii="黑体" w:eastAsia="黑体" w:hAnsi="黑体" w:cs="黑体"/>
          <w:bCs/>
          <w:sz w:val="24"/>
        </w:rPr>
        <w:t>2022年1月新能源客车</w:t>
      </w:r>
      <w:r>
        <w:rPr>
          <w:rFonts w:ascii="黑体" w:eastAsia="黑体" w:hAnsi="黑体" w:cs="黑体" w:hint="eastAsia"/>
          <w:bCs/>
          <w:sz w:val="24"/>
        </w:rPr>
        <w:t>下降4</w:t>
      </w:r>
      <w:r>
        <w:rPr>
          <w:rFonts w:ascii="黑体" w:eastAsia="黑体" w:hAnsi="黑体" w:cs="黑体"/>
          <w:bCs/>
          <w:sz w:val="24"/>
        </w:rPr>
        <w:t>%</w:t>
      </w:r>
    </w:p>
    <w:p w14:paraId="12F2B81D" w14:textId="77777777" w:rsidR="00FA2154" w:rsidRDefault="00537C54" w:rsidP="00FA2154">
      <w:pPr>
        <w:ind w:firstLineChars="200" w:firstLine="420"/>
        <w:rPr>
          <w:rFonts w:ascii="Calibri" w:eastAsia="宋体" w:hAnsi="Calibri" w:cs="Times New Roman"/>
          <w:szCs w:val="21"/>
        </w:rPr>
      </w:pPr>
      <w:r w:rsidRPr="00537C54">
        <w:rPr>
          <w:rFonts w:ascii="Calibri" w:eastAsia="宋体" w:hAnsi="Calibri" w:cs="Times New Roman" w:hint="eastAsia"/>
          <w:szCs w:val="21"/>
        </w:rPr>
        <w:t>近</w:t>
      </w:r>
      <w:r w:rsidRPr="00537C54">
        <w:rPr>
          <w:rFonts w:ascii="Calibri" w:eastAsia="宋体" w:hAnsi="Calibri" w:cs="Times New Roman"/>
          <w:szCs w:val="21"/>
        </w:rPr>
        <w:t>5</w:t>
      </w:r>
      <w:r w:rsidRPr="00537C54">
        <w:rPr>
          <w:rFonts w:ascii="Calibri" w:eastAsia="宋体" w:hAnsi="Calibri" w:cs="Times New Roman"/>
          <w:szCs w:val="21"/>
        </w:rPr>
        <w:t>年来，我国城市公交客运行业的新能源车快速发展，城市内公交替代柴油车的需求持续大增，为具有零排放、适合中低速特点的客车带来了巨大的市场机会。</w:t>
      </w:r>
      <w:r w:rsidR="00015F61" w:rsidRPr="00015F61">
        <w:rPr>
          <w:rFonts w:ascii="Calibri" w:eastAsia="宋体" w:hAnsi="Calibri" w:cs="Times New Roman"/>
          <w:szCs w:val="21"/>
        </w:rPr>
        <w:t>2018</w:t>
      </w:r>
      <w:r w:rsidR="00015F61" w:rsidRPr="00015F61">
        <w:rPr>
          <w:rFonts w:ascii="Calibri" w:eastAsia="宋体" w:hAnsi="Calibri" w:cs="Times New Roman"/>
          <w:szCs w:val="21"/>
        </w:rPr>
        <w:t>年新能源客车</w:t>
      </w:r>
      <w:r w:rsidR="00015F61" w:rsidRPr="00015F61">
        <w:rPr>
          <w:rFonts w:ascii="Calibri" w:eastAsia="宋体" w:hAnsi="Calibri" w:cs="Times New Roman"/>
          <w:szCs w:val="21"/>
        </w:rPr>
        <w:t>9.38</w:t>
      </w:r>
      <w:r w:rsidR="004E763D">
        <w:rPr>
          <w:rFonts w:ascii="Calibri" w:eastAsia="宋体" w:hAnsi="Calibri" w:cs="Times New Roman"/>
          <w:szCs w:val="21"/>
        </w:rPr>
        <w:t>万辆</w:t>
      </w:r>
      <w:r w:rsidR="00015F61" w:rsidRPr="00015F61">
        <w:rPr>
          <w:rFonts w:ascii="Calibri" w:eastAsia="宋体" w:hAnsi="Calibri" w:cs="Times New Roman"/>
          <w:szCs w:val="21"/>
        </w:rPr>
        <w:t>，</w:t>
      </w:r>
      <w:r w:rsidR="00015F61" w:rsidRPr="00015F61">
        <w:rPr>
          <w:rFonts w:ascii="Calibri" w:eastAsia="宋体" w:hAnsi="Calibri" w:cs="Times New Roman"/>
          <w:szCs w:val="21"/>
        </w:rPr>
        <w:t>2019</w:t>
      </w:r>
      <w:r w:rsidR="00015F61" w:rsidRPr="00015F61">
        <w:rPr>
          <w:rFonts w:ascii="Calibri" w:eastAsia="宋体" w:hAnsi="Calibri" w:cs="Times New Roman"/>
          <w:szCs w:val="21"/>
        </w:rPr>
        <w:t>年</w:t>
      </w:r>
      <w:r w:rsidR="00015F61" w:rsidRPr="00015F61">
        <w:rPr>
          <w:rFonts w:ascii="Calibri" w:eastAsia="宋体" w:hAnsi="Calibri" w:cs="Times New Roman"/>
          <w:szCs w:val="21"/>
        </w:rPr>
        <w:t>7.84</w:t>
      </w:r>
      <w:r w:rsidR="004E763D">
        <w:rPr>
          <w:rFonts w:ascii="Calibri" w:eastAsia="宋体" w:hAnsi="Calibri" w:cs="Times New Roman"/>
          <w:szCs w:val="21"/>
        </w:rPr>
        <w:t>万辆</w:t>
      </w:r>
      <w:r w:rsidR="00015F61" w:rsidRPr="00015F61">
        <w:rPr>
          <w:rFonts w:ascii="Calibri" w:eastAsia="宋体" w:hAnsi="Calibri" w:cs="Times New Roman"/>
          <w:szCs w:val="21"/>
        </w:rPr>
        <w:t>，持续小幅萎缩。</w:t>
      </w:r>
      <w:r w:rsidR="00015F61" w:rsidRPr="00015F61">
        <w:rPr>
          <w:rFonts w:ascii="Calibri" w:eastAsia="宋体" w:hAnsi="Calibri" w:cs="Times New Roman"/>
          <w:szCs w:val="21"/>
        </w:rPr>
        <w:t>2020</w:t>
      </w:r>
      <w:r w:rsidR="00015F61" w:rsidRPr="00015F61">
        <w:rPr>
          <w:rFonts w:ascii="Calibri" w:eastAsia="宋体" w:hAnsi="Calibri" w:cs="Times New Roman"/>
          <w:szCs w:val="21"/>
        </w:rPr>
        <w:t>年年初新能源车增长总体很低迷，其中新能源客车压力最大，全年新能源客车</w:t>
      </w:r>
      <w:r w:rsidR="00015F61" w:rsidRPr="00015F61">
        <w:rPr>
          <w:rFonts w:ascii="Calibri" w:eastAsia="宋体" w:hAnsi="Calibri" w:cs="Times New Roman"/>
          <w:szCs w:val="21"/>
        </w:rPr>
        <w:t>6.25</w:t>
      </w:r>
      <w:r w:rsidR="004E763D">
        <w:rPr>
          <w:rFonts w:ascii="Calibri" w:eastAsia="宋体" w:hAnsi="Calibri" w:cs="Times New Roman"/>
          <w:szCs w:val="21"/>
        </w:rPr>
        <w:t>万辆</w:t>
      </w:r>
      <w:r w:rsidR="00015F61" w:rsidRPr="00015F61">
        <w:rPr>
          <w:rFonts w:ascii="Calibri" w:eastAsia="宋体" w:hAnsi="Calibri" w:cs="Times New Roman"/>
          <w:szCs w:val="21"/>
        </w:rPr>
        <w:t>，同比下降</w:t>
      </w:r>
      <w:r w:rsidR="00015F61" w:rsidRPr="00015F61">
        <w:rPr>
          <w:rFonts w:ascii="Calibri" w:eastAsia="宋体" w:hAnsi="Calibri" w:cs="Times New Roman"/>
          <w:szCs w:val="21"/>
        </w:rPr>
        <w:t>20%</w:t>
      </w:r>
      <w:r w:rsidR="00015F61" w:rsidRPr="00015F61">
        <w:rPr>
          <w:rFonts w:ascii="Calibri" w:eastAsia="宋体" w:hAnsi="Calibri" w:cs="Times New Roman"/>
          <w:szCs w:val="21"/>
        </w:rPr>
        <w:t>，但下半年改善。</w:t>
      </w:r>
      <w:r w:rsidR="00015F61" w:rsidRPr="00015F61">
        <w:rPr>
          <w:rFonts w:ascii="Calibri" w:eastAsia="宋体" w:hAnsi="Calibri" w:cs="Times New Roman"/>
          <w:szCs w:val="21"/>
        </w:rPr>
        <w:t>2021</w:t>
      </w:r>
      <w:r w:rsidR="00015F61" w:rsidRPr="00015F61">
        <w:rPr>
          <w:rFonts w:ascii="Calibri" w:eastAsia="宋体" w:hAnsi="Calibri" w:cs="Times New Roman"/>
          <w:szCs w:val="21"/>
        </w:rPr>
        <w:t>年新能源车增长总体很低迷，其中新能源客车压力最大，</w:t>
      </w:r>
      <w:r w:rsidR="00015F61">
        <w:rPr>
          <w:rFonts w:ascii="Calibri" w:eastAsia="宋体" w:hAnsi="Calibri" w:cs="Times New Roman" w:hint="eastAsia"/>
          <w:szCs w:val="21"/>
        </w:rPr>
        <w:t>2</w:t>
      </w:r>
      <w:r w:rsidR="00015F61">
        <w:rPr>
          <w:rFonts w:ascii="Calibri" w:eastAsia="宋体" w:hAnsi="Calibri" w:cs="Times New Roman"/>
          <w:szCs w:val="21"/>
        </w:rPr>
        <w:t>1</w:t>
      </w:r>
      <w:r w:rsidR="00015F61" w:rsidRPr="00015F61">
        <w:rPr>
          <w:rFonts w:ascii="Calibri" w:eastAsia="宋体" w:hAnsi="Calibri" w:cs="Times New Roman"/>
          <w:szCs w:val="21"/>
        </w:rPr>
        <w:t>年新能源客车</w:t>
      </w:r>
      <w:r w:rsidR="00015F61" w:rsidRPr="00015F61">
        <w:rPr>
          <w:rFonts w:ascii="Calibri" w:eastAsia="宋体" w:hAnsi="Calibri" w:cs="Times New Roman"/>
          <w:szCs w:val="21"/>
        </w:rPr>
        <w:t>5.5</w:t>
      </w:r>
      <w:r w:rsidR="004E763D">
        <w:rPr>
          <w:rFonts w:ascii="Calibri" w:eastAsia="宋体" w:hAnsi="Calibri" w:cs="Times New Roman"/>
          <w:szCs w:val="21"/>
        </w:rPr>
        <w:t>万辆</w:t>
      </w:r>
      <w:r w:rsidR="00015F61" w:rsidRPr="00015F61">
        <w:rPr>
          <w:rFonts w:ascii="Calibri" w:eastAsia="宋体" w:hAnsi="Calibri" w:cs="Times New Roman"/>
          <w:szCs w:val="21"/>
        </w:rPr>
        <w:t>，同比下降</w:t>
      </w:r>
      <w:r w:rsidR="00015F61" w:rsidRPr="00015F61">
        <w:rPr>
          <w:rFonts w:ascii="Calibri" w:eastAsia="宋体" w:hAnsi="Calibri" w:cs="Times New Roman"/>
          <w:szCs w:val="21"/>
        </w:rPr>
        <w:t>12%</w:t>
      </w:r>
      <w:r w:rsidR="00FA2154">
        <w:rPr>
          <w:rFonts w:ascii="Calibri" w:eastAsia="宋体" w:hAnsi="Calibri" w:cs="Times New Roman" w:hint="eastAsia"/>
          <w:szCs w:val="21"/>
        </w:rPr>
        <w:t>。</w:t>
      </w:r>
    </w:p>
    <w:p w14:paraId="3DD364A3" w14:textId="6AA7D622" w:rsidR="00537C54" w:rsidRPr="00537C54" w:rsidRDefault="00015F61" w:rsidP="00FA2154">
      <w:pPr>
        <w:ind w:firstLineChars="200" w:firstLine="420"/>
        <w:rPr>
          <w:rFonts w:ascii="Calibri" w:eastAsia="宋体" w:hAnsi="Calibri" w:cs="Times New Roman"/>
          <w:szCs w:val="21"/>
        </w:rPr>
      </w:pPr>
      <w:r w:rsidRPr="00015F61">
        <w:rPr>
          <w:rFonts w:ascii="Calibri" w:eastAsia="宋体" w:hAnsi="Calibri" w:cs="Times New Roman"/>
          <w:szCs w:val="21"/>
        </w:rPr>
        <w:t>2022</w:t>
      </w:r>
      <w:r w:rsidRPr="00015F61">
        <w:rPr>
          <w:rFonts w:ascii="Calibri" w:eastAsia="宋体" w:hAnsi="Calibri" w:cs="Times New Roman"/>
          <w:szCs w:val="21"/>
        </w:rPr>
        <w:t>年</w:t>
      </w:r>
      <w:r w:rsidRPr="00015F61">
        <w:rPr>
          <w:rFonts w:ascii="Calibri" w:eastAsia="宋体" w:hAnsi="Calibri" w:cs="Times New Roman"/>
          <w:szCs w:val="21"/>
        </w:rPr>
        <w:t>1</w:t>
      </w:r>
      <w:r w:rsidRPr="00015F61">
        <w:rPr>
          <w:rFonts w:ascii="Calibri" w:eastAsia="宋体" w:hAnsi="Calibri" w:cs="Times New Roman"/>
          <w:szCs w:val="21"/>
        </w:rPr>
        <w:t>月的新能源客车销量</w:t>
      </w:r>
      <w:r w:rsidRPr="00015F61">
        <w:rPr>
          <w:rFonts w:ascii="Calibri" w:eastAsia="宋体" w:hAnsi="Calibri" w:cs="Times New Roman"/>
          <w:szCs w:val="21"/>
        </w:rPr>
        <w:t>0.32</w:t>
      </w:r>
      <w:r w:rsidR="004E763D">
        <w:rPr>
          <w:rFonts w:ascii="Calibri" w:eastAsia="宋体" w:hAnsi="Calibri" w:cs="Times New Roman"/>
          <w:szCs w:val="21"/>
        </w:rPr>
        <w:t>万辆</w:t>
      </w:r>
      <w:r w:rsidRPr="00015F61">
        <w:rPr>
          <w:rFonts w:ascii="Calibri" w:eastAsia="宋体" w:hAnsi="Calibri" w:cs="Times New Roman"/>
          <w:szCs w:val="21"/>
        </w:rPr>
        <w:t>，同比增速</w:t>
      </w:r>
      <w:r w:rsidR="00BD1540">
        <w:rPr>
          <w:rFonts w:ascii="Calibri" w:eastAsia="宋体" w:hAnsi="Calibri" w:cs="Times New Roman" w:hint="eastAsia"/>
          <w:szCs w:val="21"/>
        </w:rPr>
        <w:t>下降</w:t>
      </w:r>
      <w:r w:rsidRPr="00015F61">
        <w:rPr>
          <w:rFonts w:ascii="Calibri" w:eastAsia="宋体" w:hAnsi="Calibri" w:cs="Times New Roman"/>
          <w:szCs w:val="21"/>
        </w:rPr>
        <w:t>4%</w:t>
      </w:r>
      <w:r w:rsidRPr="00015F61">
        <w:rPr>
          <w:rFonts w:ascii="Calibri" w:eastAsia="宋体" w:hAnsi="Calibri" w:cs="Times New Roman"/>
          <w:szCs w:val="21"/>
        </w:rPr>
        <w:t>，</w:t>
      </w:r>
      <w:r w:rsidRPr="00015F61">
        <w:rPr>
          <w:rFonts w:ascii="Calibri" w:eastAsia="宋体" w:hAnsi="Calibri" w:cs="Times New Roman"/>
          <w:szCs w:val="21"/>
        </w:rPr>
        <w:t xml:space="preserve"> </w:t>
      </w:r>
      <w:r>
        <w:rPr>
          <w:rFonts w:ascii="Calibri" w:eastAsia="宋体" w:hAnsi="Calibri" w:cs="Times New Roman" w:hint="eastAsia"/>
          <w:szCs w:val="21"/>
        </w:rPr>
        <w:t>环比</w:t>
      </w:r>
      <w:r w:rsidRPr="00015F61">
        <w:rPr>
          <w:rFonts w:ascii="Calibri" w:eastAsia="宋体" w:hAnsi="Calibri" w:cs="Times New Roman"/>
          <w:szCs w:val="21"/>
        </w:rPr>
        <w:t>降</w:t>
      </w:r>
      <w:r w:rsidRPr="00015F61">
        <w:rPr>
          <w:rFonts w:ascii="Calibri" w:eastAsia="宋体" w:hAnsi="Calibri" w:cs="Times New Roman"/>
          <w:szCs w:val="21"/>
        </w:rPr>
        <w:t>79%</w:t>
      </w:r>
      <w:r w:rsidRPr="00015F61">
        <w:rPr>
          <w:rFonts w:ascii="Calibri" w:eastAsia="宋体" w:hAnsi="Calibri" w:cs="Times New Roman"/>
          <w:szCs w:val="21"/>
        </w:rPr>
        <w:t>。</w:t>
      </w:r>
      <w:r w:rsidR="00537C54" w:rsidRPr="00537C54">
        <w:rPr>
          <w:rFonts w:ascii="Calibri" w:eastAsia="宋体" w:hAnsi="Calibri" w:cs="Times New Roman"/>
          <w:szCs w:val="21"/>
        </w:rPr>
        <w:t>2019</w:t>
      </w:r>
      <w:r w:rsidR="00537C54" w:rsidRPr="00537C54">
        <w:rPr>
          <w:rFonts w:ascii="Calibri" w:eastAsia="宋体" w:hAnsi="Calibri" w:cs="Times New Roman"/>
          <w:szCs w:val="21"/>
        </w:rPr>
        <w:t>年到</w:t>
      </w:r>
      <w:r w:rsidR="00537C54" w:rsidRPr="00537C54">
        <w:rPr>
          <w:rFonts w:ascii="Calibri" w:eastAsia="宋体" w:hAnsi="Calibri" w:cs="Times New Roman"/>
          <w:szCs w:val="21"/>
        </w:rPr>
        <w:t>2021</w:t>
      </w:r>
      <w:r w:rsidR="00537C54" w:rsidRPr="00537C54">
        <w:rPr>
          <w:rFonts w:ascii="Calibri" w:eastAsia="宋体" w:hAnsi="Calibri" w:cs="Times New Roman"/>
          <w:szCs w:val="21"/>
        </w:rPr>
        <w:t>年的新能源客车没有拓展公交外的市场，甚至因补贴的性价比下降在非营运领域有所下降，新能源客车市场适应性压力较大。</w:t>
      </w:r>
    </w:p>
    <w:p w14:paraId="0A2C2DA9" w14:textId="5D9FEAA2" w:rsidR="008B1AEE" w:rsidRDefault="00537C54" w:rsidP="00537C54">
      <w:pPr>
        <w:ind w:firstLineChars="270" w:firstLine="567"/>
        <w:rPr>
          <w:rFonts w:asciiTheme="minorEastAsia" w:hAnsiTheme="minorEastAsia" w:cs="黑体"/>
          <w:bCs/>
          <w:szCs w:val="21"/>
        </w:rPr>
      </w:pPr>
      <w:r>
        <w:rPr>
          <w:rFonts w:ascii="Calibri" w:eastAsia="宋体" w:hAnsi="Calibri" w:cs="Times New Roman" w:hint="eastAsia"/>
          <w:szCs w:val="21"/>
        </w:rPr>
        <w:t>近两</w:t>
      </w:r>
      <w:r w:rsidRPr="00537C54">
        <w:rPr>
          <w:rFonts w:ascii="Calibri" w:eastAsia="宋体" w:hAnsi="Calibri" w:cs="Times New Roman"/>
          <w:szCs w:val="21"/>
        </w:rPr>
        <w:t>年新能源车逐步脱离补贴独立发展，但新能源公交客车市场压力仍较大。虽然新能源客车市场</w:t>
      </w:r>
      <w:r w:rsidR="00015F61">
        <w:rPr>
          <w:rFonts w:ascii="Calibri" w:eastAsia="宋体" w:hAnsi="Calibri" w:cs="Times New Roman" w:hint="eastAsia"/>
          <w:szCs w:val="21"/>
        </w:rPr>
        <w:t>遭遇</w:t>
      </w:r>
      <w:r w:rsidRPr="00537C54">
        <w:rPr>
          <w:rFonts w:ascii="Calibri" w:eastAsia="宋体" w:hAnsi="Calibri" w:cs="Times New Roman"/>
          <w:szCs w:val="21"/>
        </w:rPr>
        <w:t>2020</w:t>
      </w:r>
      <w:r w:rsidRPr="00537C54">
        <w:rPr>
          <w:rFonts w:ascii="Calibri" w:eastAsia="宋体" w:hAnsi="Calibri" w:cs="Times New Roman"/>
          <w:szCs w:val="21"/>
        </w:rPr>
        <w:t>年疫情打击很大，但这也是暂时的影响。随着蓝天保卫战的持续推进，柴油车的发展面临巨大危机，大中型客车是新能源城市交通的核心，新能源公交车大有优势。虽然</w:t>
      </w:r>
      <w:r w:rsidR="00015F61">
        <w:rPr>
          <w:rFonts w:ascii="Calibri" w:eastAsia="宋体" w:hAnsi="Calibri" w:cs="Times New Roman" w:hint="eastAsia"/>
          <w:szCs w:val="21"/>
        </w:rPr>
        <w:t>纯电动大中型客车的非公交市场需求不足，但</w:t>
      </w:r>
      <w:r w:rsidRPr="00537C54">
        <w:rPr>
          <w:rFonts w:ascii="Calibri" w:eastAsia="宋体" w:hAnsi="Calibri" w:cs="Times New Roman"/>
          <w:szCs w:val="21"/>
        </w:rPr>
        <w:t>随着</w:t>
      </w:r>
      <w:r w:rsidR="00015F61">
        <w:rPr>
          <w:rFonts w:ascii="Calibri" w:eastAsia="宋体" w:hAnsi="Calibri" w:cs="Times New Roman" w:hint="eastAsia"/>
          <w:szCs w:val="21"/>
        </w:rPr>
        <w:t>产品技术</w:t>
      </w:r>
      <w:r w:rsidR="00BD1540">
        <w:rPr>
          <w:rFonts w:ascii="Calibri" w:eastAsia="宋体" w:hAnsi="Calibri" w:cs="Times New Roman" w:hint="eastAsia"/>
          <w:szCs w:val="21"/>
        </w:rPr>
        <w:t>在</w:t>
      </w:r>
      <w:r w:rsidR="00015F61">
        <w:rPr>
          <w:rFonts w:ascii="Calibri" w:eastAsia="宋体" w:hAnsi="Calibri" w:cs="Times New Roman" w:hint="eastAsia"/>
          <w:szCs w:val="21"/>
        </w:rPr>
        <w:t>未来的持续改善，</w:t>
      </w:r>
      <w:r w:rsidRPr="00537C54">
        <w:rPr>
          <w:rFonts w:ascii="Calibri" w:eastAsia="宋体" w:hAnsi="Calibri" w:cs="Times New Roman"/>
          <w:szCs w:val="21"/>
        </w:rPr>
        <w:t>地方补贴新能源公交的政策进一步强化，城市公交仍是新能源客车核心主力市场。</w:t>
      </w:r>
    </w:p>
    <w:p w14:paraId="3FA4A550" w14:textId="77777777" w:rsidR="008B1AEE" w:rsidRPr="00066AF4" w:rsidRDefault="008B1AEE" w:rsidP="008B1AEE">
      <w:pPr>
        <w:rPr>
          <w:rFonts w:asciiTheme="minorEastAsia" w:hAnsiTheme="minorEastAsia" w:cs="黑体"/>
          <w:bCs/>
          <w:szCs w:val="21"/>
        </w:rPr>
      </w:pPr>
    </w:p>
    <w:p w14:paraId="2A66C342" w14:textId="77777777" w:rsidR="008B1AEE" w:rsidRPr="00044A32" w:rsidRDefault="008B1AEE" w:rsidP="008B1AEE">
      <w:pPr>
        <w:outlineLvl w:val="0"/>
        <w:rPr>
          <w:b/>
        </w:rPr>
      </w:pPr>
      <w:r w:rsidRPr="00044A32">
        <w:rPr>
          <w:rFonts w:hint="eastAsia"/>
          <w:b/>
        </w:rPr>
        <w:t>二、</w:t>
      </w:r>
      <w:r w:rsidRPr="00044A32">
        <w:rPr>
          <w:rFonts w:cs="宋体" w:hint="eastAsia"/>
          <w:b/>
          <w:bCs/>
        </w:rPr>
        <w:t>本周上市新车</w:t>
      </w:r>
    </w:p>
    <w:p w14:paraId="435D829C" w14:textId="77777777" w:rsidR="0077728D" w:rsidRPr="000E7572" w:rsidRDefault="0077728D" w:rsidP="008B1AEE">
      <w:pPr>
        <w:pStyle w:val="a8"/>
        <w:numPr>
          <w:ilvl w:val="0"/>
          <w:numId w:val="6"/>
        </w:numPr>
        <w:ind w:firstLineChars="0"/>
        <w:outlineLvl w:val="1"/>
        <w:rPr>
          <w:b/>
        </w:rPr>
      </w:pPr>
      <w:r w:rsidRPr="000E7572">
        <w:rPr>
          <w:b/>
        </w:rPr>
        <w:t>红旗E-QM5</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7728D" w:rsidRPr="00AE3F22" w14:paraId="16943568" w14:textId="77777777" w:rsidTr="00AC38DB">
        <w:trPr>
          <w:tblCellSpacing w:w="15" w:type="dxa"/>
        </w:trPr>
        <w:tc>
          <w:tcPr>
            <w:tcW w:w="0" w:type="auto"/>
            <w:tcBorders>
              <w:top w:val="nil"/>
              <w:left w:val="nil"/>
              <w:bottom w:val="nil"/>
              <w:right w:val="nil"/>
            </w:tcBorders>
            <w:hideMark/>
          </w:tcPr>
          <w:p w14:paraId="75686705" w14:textId="77777777" w:rsidR="0077728D" w:rsidRPr="00AE3F22" w:rsidRDefault="0077728D" w:rsidP="00AC38DB">
            <w:pPr>
              <w:widowControl/>
              <w:jc w:val="left"/>
              <w:rPr>
                <w:rFonts w:ascii="宋体" w:eastAsia="宋体" w:hAnsi="宋体" w:cs="宋体"/>
                <w:kern w:val="0"/>
                <w:sz w:val="24"/>
              </w:rPr>
            </w:pPr>
          </w:p>
        </w:tc>
        <w:tc>
          <w:tcPr>
            <w:tcW w:w="0" w:type="auto"/>
            <w:tcBorders>
              <w:top w:val="nil"/>
              <w:left w:val="nil"/>
              <w:bottom w:val="nil"/>
              <w:right w:val="nil"/>
            </w:tcBorders>
            <w:hideMark/>
          </w:tcPr>
          <w:p w14:paraId="41452E8A" w14:textId="77777777" w:rsidR="0077728D" w:rsidRPr="00AE3F22" w:rsidRDefault="0077728D" w:rsidP="00AC38DB">
            <w:pPr>
              <w:widowControl/>
              <w:jc w:val="left"/>
              <w:rPr>
                <w:rFonts w:ascii="微软雅黑" w:eastAsia="微软雅黑" w:hAnsi="微软雅黑" w:cs="宋体"/>
                <w:color w:val="000000"/>
                <w:kern w:val="0"/>
                <w:sz w:val="27"/>
                <w:szCs w:val="27"/>
              </w:rPr>
            </w:pPr>
            <w:r w:rsidRPr="00AE3F22">
              <w:rPr>
                <w:rFonts w:ascii="微软雅黑" w:eastAsia="微软雅黑" w:hAnsi="微软雅黑" w:cs="宋体"/>
                <w:noProof/>
                <w:color w:val="000000"/>
                <w:kern w:val="0"/>
                <w:sz w:val="27"/>
                <w:szCs w:val="27"/>
              </w:rPr>
              <w:drawing>
                <wp:inline distT="0" distB="0" distL="0" distR="0" wp14:anchorId="3340D4BF" wp14:editId="24837D27">
                  <wp:extent cx="1800000" cy="921221"/>
                  <wp:effectExtent l="0" t="0" r="0" b="0"/>
                  <wp:docPr id="4" name="图片 4" descr="http://58.246.65.10:8231/UploadFile/2022021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216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921221"/>
                          </a:xfrm>
                          <a:prstGeom prst="rect">
                            <a:avLst/>
                          </a:prstGeom>
                          <a:noFill/>
                          <a:ln>
                            <a:noFill/>
                          </a:ln>
                        </pic:spPr>
                      </pic:pic>
                    </a:graphicData>
                  </a:graphic>
                </wp:inline>
              </w:drawing>
            </w:r>
          </w:p>
        </w:tc>
        <w:tc>
          <w:tcPr>
            <w:tcW w:w="0" w:type="auto"/>
            <w:tcBorders>
              <w:top w:val="nil"/>
              <w:left w:val="nil"/>
              <w:bottom w:val="nil"/>
              <w:right w:val="nil"/>
            </w:tcBorders>
            <w:hideMark/>
          </w:tcPr>
          <w:p w14:paraId="16174A90" w14:textId="77777777" w:rsidR="0077728D" w:rsidRPr="00AE3F22" w:rsidRDefault="0077728D" w:rsidP="00AC38DB">
            <w:pPr>
              <w:widowControl/>
              <w:jc w:val="left"/>
              <w:rPr>
                <w:rFonts w:ascii="微软雅黑" w:eastAsia="微软雅黑" w:hAnsi="微软雅黑" w:cs="宋体"/>
                <w:color w:val="000000"/>
                <w:kern w:val="0"/>
                <w:sz w:val="27"/>
                <w:szCs w:val="27"/>
              </w:rPr>
            </w:pPr>
          </w:p>
        </w:tc>
      </w:tr>
    </w:tbl>
    <w:p w14:paraId="4ED18802" w14:textId="77777777" w:rsidR="0077728D" w:rsidRDefault="0077728D" w:rsidP="008B1AEE">
      <w:r>
        <w:t>2月15日，红旗E-QM5新车型上市，新车共推4款，补贴后售价为23.98万元，享受国补1.26万元。</w:t>
      </w:r>
    </w:p>
    <w:p w14:paraId="575B9B87" w14:textId="77777777" w:rsidR="0077728D" w:rsidRDefault="0077728D" w:rsidP="008B1AEE">
      <w:r>
        <w:rPr>
          <w:rFonts w:hint="eastAsia"/>
        </w:rPr>
        <w:t>外观方面，新车与现款车型基本保持一致。</w:t>
      </w:r>
    </w:p>
    <w:p w14:paraId="3DBD18CF" w14:textId="191922CF" w:rsidR="0077728D" w:rsidRPr="00BD1540" w:rsidRDefault="0077728D" w:rsidP="008B1AEE">
      <w:r>
        <w:rPr>
          <w:rFonts w:hint="eastAsia"/>
        </w:rPr>
        <w:t>动力方面，新车搭载纯电动机，</w:t>
      </w:r>
      <w:r>
        <w:t>NEDC综合续航里程达431km。</w:t>
      </w:r>
    </w:p>
    <w:p w14:paraId="1A6D7FAA" w14:textId="77777777" w:rsidR="0077728D" w:rsidRPr="000E7572" w:rsidRDefault="0077728D" w:rsidP="008B1AEE">
      <w:pPr>
        <w:pStyle w:val="a8"/>
        <w:numPr>
          <w:ilvl w:val="0"/>
          <w:numId w:val="6"/>
        </w:numPr>
        <w:ind w:firstLineChars="0"/>
        <w:outlineLvl w:val="1"/>
        <w:rPr>
          <w:b/>
        </w:rPr>
      </w:pPr>
      <w:r w:rsidRPr="000E7572">
        <w:rPr>
          <w:b/>
        </w:rPr>
        <w:t>哪吒UPro</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7728D" w:rsidRPr="00AE3F22" w14:paraId="0DCE08AF" w14:textId="77777777" w:rsidTr="00AC38DB">
        <w:trPr>
          <w:tblCellSpacing w:w="15" w:type="dxa"/>
        </w:trPr>
        <w:tc>
          <w:tcPr>
            <w:tcW w:w="0" w:type="auto"/>
            <w:tcBorders>
              <w:top w:val="nil"/>
              <w:left w:val="nil"/>
              <w:bottom w:val="nil"/>
              <w:right w:val="nil"/>
            </w:tcBorders>
            <w:hideMark/>
          </w:tcPr>
          <w:p w14:paraId="75C754A7" w14:textId="77777777" w:rsidR="0077728D" w:rsidRPr="00AE3F22" w:rsidRDefault="0077728D" w:rsidP="00AC38DB">
            <w:pPr>
              <w:widowControl/>
              <w:jc w:val="left"/>
              <w:rPr>
                <w:rFonts w:ascii="宋体" w:eastAsia="宋体" w:hAnsi="宋体" w:cs="宋体"/>
                <w:kern w:val="0"/>
                <w:sz w:val="24"/>
              </w:rPr>
            </w:pPr>
          </w:p>
        </w:tc>
        <w:tc>
          <w:tcPr>
            <w:tcW w:w="0" w:type="auto"/>
            <w:tcBorders>
              <w:top w:val="nil"/>
              <w:left w:val="nil"/>
              <w:bottom w:val="nil"/>
              <w:right w:val="nil"/>
            </w:tcBorders>
            <w:hideMark/>
          </w:tcPr>
          <w:p w14:paraId="7B0777D6" w14:textId="77777777" w:rsidR="0077728D" w:rsidRPr="00AE3F22" w:rsidRDefault="0077728D" w:rsidP="00AC38DB">
            <w:pPr>
              <w:widowControl/>
              <w:jc w:val="left"/>
              <w:rPr>
                <w:rFonts w:ascii="微软雅黑" w:eastAsia="微软雅黑" w:hAnsi="微软雅黑" w:cs="宋体"/>
                <w:color w:val="000000"/>
                <w:kern w:val="0"/>
                <w:sz w:val="27"/>
                <w:szCs w:val="27"/>
              </w:rPr>
            </w:pPr>
            <w:r w:rsidRPr="00AE3F22">
              <w:rPr>
                <w:rFonts w:ascii="微软雅黑" w:eastAsia="微软雅黑" w:hAnsi="微软雅黑" w:cs="宋体"/>
                <w:noProof/>
                <w:color w:val="000000"/>
                <w:kern w:val="0"/>
                <w:sz w:val="27"/>
                <w:szCs w:val="27"/>
              </w:rPr>
              <w:drawing>
                <wp:inline distT="0" distB="0" distL="0" distR="0" wp14:anchorId="64FD48F8" wp14:editId="14764A9D">
                  <wp:extent cx="1800000" cy="945000"/>
                  <wp:effectExtent l="0" t="0" r="0" b="7620"/>
                  <wp:docPr id="5" name="图片 5" descr="http://58.246.65.10:8231/UploadFile/20220216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216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45000"/>
                          </a:xfrm>
                          <a:prstGeom prst="rect">
                            <a:avLst/>
                          </a:prstGeom>
                          <a:noFill/>
                          <a:ln>
                            <a:noFill/>
                          </a:ln>
                        </pic:spPr>
                      </pic:pic>
                    </a:graphicData>
                  </a:graphic>
                </wp:inline>
              </w:drawing>
            </w:r>
          </w:p>
        </w:tc>
        <w:tc>
          <w:tcPr>
            <w:tcW w:w="0" w:type="auto"/>
            <w:tcBorders>
              <w:top w:val="nil"/>
              <w:left w:val="nil"/>
              <w:bottom w:val="nil"/>
              <w:right w:val="nil"/>
            </w:tcBorders>
            <w:hideMark/>
          </w:tcPr>
          <w:p w14:paraId="688D3F9B" w14:textId="77777777" w:rsidR="0077728D" w:rsidRPr="00AE3F22" w:rsidRDefault="0077728D" w:rsidP="00AC38DB">
            <w:pPr>
              <w:widowControl/>
              <w:jc w:val="left"/>
              <w:rPr>
                <w:rFonts w:ascii="微软雅黑" w:eastAsia="微软雅黑" w:hAnsi="微软雅黑" w:cs="宋体"/>
                <w:color w:val="000000"/>
                <w:kern w:val="0"/>
                <w:sz w:val="27"/>
                <w:szCs w:val="27"/>
              </w:rPr>
            </w:pPr>
          </w:p>
        </w:tc>
      </w:tr>
    </w:tbl>
    <w:p w14:paraId="342FE037" w14:textId="77777777" w:rsidR="0077728D" w:rsidRDefault="0077728D" w:rsidP="008B1AEE">
      <w:r>
        <w:t>2月15日，哪吒UPro新车型上市，新车补贴后售价为10.28万元。</w:t>
      </w:r>
    </w:p>
    <w:p w14:paraId="2BB97220" w14:textId="77777777" w:rsidR="0077728D" w:rsidRDefault="0077728D" w:rsidP="008B1AEE">
      <w:r>
        <w:rPr>
          <w:rFonts w:hint="eastAsia"/>
        </w:rPr>
        <w:t>外观方面，新车与现款车型基本保持一致。</w:t>
      </w:r>
    </w:p>
    <w:p w14:paraId="5AB03B11" w14:textId="2AF47345" w:rsidR="0077728D" w:rsidRPr="00BD1540" w:rsidRDefault="0077728D" w:rsidP="008B1AEE">
      <w:r>
        <w:rPr>
          <w:rFonts w:hint="eastAsia"/>
        </w:rPr>
        <w:t>动力方面，新车搭载纯电动机，</w:t>
      </w:r>
      <w:r>
        <w:t>NEDC综合续航里程达400km。</w:t>
      </w:r>
    </w:p>
    <w:p w14:paraId="35D6D34B" w14:textId="77777777" w:rsidR="0077728D" w:rsidRPr="00E71C7E" w:rsidRDefault="0077728D" w:rsidP="008B1AEE">
      <w:pPr>
        <w:pStyle w:val="a8"/>
        <w:numPr>
          <w:ilvl w:val="0"/>
          <w:numId w:val="6"/>
        </w:numPr>
        <w:ind w:firstLineChars="0"/>
        <w:outlineLvl w:val="1"/>
        <w:rPr>
          <w:b/>
        </w:rPr>
      </w:pPr>
      <w:r w:rsidRPr="00E71C7E">
        <w:rPr>
          <w:b/>
        </w:rPr>
        <w:t>启辰D60EV</w:t>
      </w:r>
      <w:r>
        <w:rPr>
          <w:b/>
        </w:rPr>
        <w:t>换电版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7728D" w:rsidRPr="008F7D93" w14:paraId="6E797979" w14:textId="77777777" w:rsidTr="00AC38DB">
        <w:trPr>
          <w:tblCellSpacing w:w="15" w:type="dxa"/>
        </w:trPr>
        <w:tc>
          <w:tcPr>
            <w:tcW w:w="0" w:type="auto"/>
            <w:tcBorders>
              <w:top w:val="nil"/>
              <w:left w:val="nil"/>
              <w:bottom w:val="nil"/>
              <w:right w:val="nil"/>
            </w:tcBorders>
            <w:hideMark/>
          </w:tcPr>
          <w:p w14:paraId="0D74AF1A" w14:textId="77777777" w:rsidR="0077728D" w:rsidRPr="008F7D93" w:rsidRDefault="0077728D" w:rsidP="00AC38DB">
            <w:pPr>
              <w:widowControl/>
              <w:jc w:val="left"/>
              <w:rPr>
                <w:rFonts w:ascii="宋体" w:eastAsia="宋体" w:hAnsi="宋体" w:cs="宋体"/>
                <w:kern w:val="0"/>
                <w:sz w:val="24"/>
              </w:rPr>
            </w:pPr>
          </w:p>
        </w:tc>
        <w:tc>
          <w:tcPr>
            <w:tcW w:w="0" w:type="auto"/>
            <w:tcBorders>
              <w:top w:val="nil"/>
              <w:left w:val="nil"/>
              <w:bottom w:val="nil"/>
              <w:right w:val="nil"/>
            </w:tcBorders>
            <w:hideMark/>
          </w:tcPr>
          <w:p w14:paraId="506E3D87" w14:textId="77777777" w:rsidR="0077728D" w:rsidRPr="008F7D93" w:rsidRDefault="0077728D" w:rsidP="00AC38DB">
            <w:pPr>
              <w:widowControl/>
              <w:jc w:val="left"/>
              <w:rPr>
                <w:rFonts w:ascii="微软雅黑" w:eastAsia="微软雅黑" w:hAnsi="微软雅黑" w:cs="宋体"/>
                <w:color w:val="000000"/>
                <w:kern w:val="0"/>
                <w:sz w:val="27"/>
                <w:szCs w:val="27"/>
              </w:rPr>
            </w:pPr>
            <w:r w:rsidRPr="008F7D93">
              <w:rPr>
                <w:rFonts w:ascii="微软雅黑" w:eastAsia="微软雅黑" w:hAnsi="微软雅黑" w:cs="宋体"/>
                <w:noProof/>
                <w:color w:val="000000"/>
                <w:kern w:val="0"/>
                <w:sz w:val="27"/>
                <w:szCs w:val="27"/>
              </w:rPr>
              <w:drawing>
                <wp:inline distT="0" distB="0" distL="0" distR="0" wp14:anchorId="6B5A2FE8" wp14:editId="1870658C">
                  <wp:extent cx="1800000" cy="937843"/>
                  <wp:effectExtent l="0" t="0" r="0" b="0"/>
                  <wp:docPr id="24" name="图片 24" descr="http://58.246.65.10:8231/UploadFile/2022021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214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37843"/>
                          </a:xfrm>
                          <a:prstGeom prst="rect">
                            <a:avLst/>
                          </a:prstGeom>
                          <a:noFill/>
                          <a:ln>
                            <a:noFill/>
                          </a:ln>
                        </pic:spPr>
                      </pic:pic>
                    </a:graphicData>
                  </a:graphic>
                </wp:inline>
              </w:drawing>
            </w:r>
          </w:p>
        </w:tc>
        <w:tc>
          <w:tcPr>
            <w:tcW w:w="0" w:type="auto"/>
            <w:tcBorders>
              <w:top w:val="nil"/>
              <w:left w:val="nil"/>
              <w:bottom w:val="nil"/>
              <w:right w:val="nil"/>
            </w:tcBorders>
            <w:hideMark/>
          </w:tcPr>
          <w:p w14:paraId="303B5004" w14:textId="77777777" w:rsidR="0077728D" w:rsidRPr="008F7D93" w:rsidRDefault="0077728D" w:rsidP="00AC38DB">
            <w:pPr>
              <w:widowControl/>
              <w:jc w:val="left"/>
              <w:rPr>
                <w:rFonts w:ascii="微软雅黑" w:eastAsia="微软雅黑" w:hAnsi="微软雅黑" w:cs="宋体"/>
                <w:color w:val="000000"/>
                <w:kern w:val="0"/>
                <w:sz w:val="27"/>
                <w:szCs w:val="27"/>
              </w:rPr>
            </w:pPr>
          </w:p>
        </w:tc>
      </w:tr>
    </w:tbl>
    <w:p w14:paraId="453616DC" w14:textId="77777777" w:rsidR="0077728D" w:rsidRDefault="0077728D" w:rsidP="008B1AEE">
      <w:r>
        <w:t>2月11日，启辰D60EV换电版上市，新车补贴后售价为12.98万元，享受国补1.26万元。</w:t>
      </w:r>
    </w:p>
    <w:p w14:paraId="4717D229" w14:textId="77777777" w:rsidR="0077728D" w:rsidRDefault="0077728D" w:rsidP="008B1AEE">
      <w:r>
        <w:rPr>
          <w:rFonts w:hint="eastAsia"/>
        </w:rPr>
        <w:t>外观方面，新车与现款车型基本保持一致。</w:t>
      </w:r>
    </w:p>
    <w:p w14:paraId="77E6395F" w14:textId="77777777" w:rsidR="0077728D" w:rsidRDefault="0077728D" w:rsidP="008B1AEE">
      <w:r>
        <w:rPr>
          <w:rFonts w:hint="eastAsia"/>
        </w:rPr>
        <w:t>内饰方面，新车采用悬浮式触控中控大屏、</w:t>
      </w:r>
      <w:r>
        <w:t>5英寸TFT彩色液晶仪表盘。</w:t>
      </w:r>
    </w:p>
    <w:p w14:paraId="1F37A8F9" w14:textId="0D1465F0" w:rsidR="0077728D" w:rsidRPr="00BD1540" w:rsidRDefault="0077728D" w:rsidP="008B1AEE">
      <w:r>
        <w:rPr>
          <w:rFonts w:hint="eastAsia"/>
        </w:rPr>
        <w:t>动力方面，新车搭载纯电动机，</w:t>
      </w:r>
      <w:r>
        <w:t>NEDC综合续航里程达423km。</w:t>
      </w:r>
    </w:p>
    <w:p w14:paraId="67DD289F" w14:textId="77777777" w:rsidR="0077728D" w:rsidRPr="00E71C7E" w:rsidRDefault="0077728D" w:rsidP="008B1AEE">
      <w:pPr>
        <w:pStyle w:val="a8"/>
        <w:numPr>
          <w:ilvl w:val="0"/>
          <w:numId w:val="6"/>
        </w:numPr>
        <w:ind w:firstLineChars="0"/>
        <w:outlineLvl w:val="1"/>
        <w:rPr>
          <w:b/>
        </w:rPr>
      </w:pPr>
      <w:r w:rsidRPr="00E71C7E">
        <w:rPr>
          <w:b/>
        </w:rPr>
        <w:t>小鹏P5</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7728D" w:rsidRPr="00AE3F22" w14:paraId="3F0041BF" w14:textId="77777777" w:rsidTr="00AC38DB">
        <w:trPr>
          <w:tblCellSpacing w:w="15" w:type="dxa"/>
        </w:trPr>
        <w:tc>
          <w:tcPr>
            <w:tcW w:w="0" w:type="auto"/>
            <w:tcBorders>
              <w:top w:val="nil"/>
              <w:left w:val="nil"/>
              <w:bottom w:val="nil"/>
              <w:right w:val="nil"/>
            </w:tcBorders>
            <w:hideMark/>
          </w:tcPr>
          <w:p w14:paraId="2A6C3959" w14:textId="77777777" w:rsidR="0077728D" w:rsidRPr="00AE3F22" w:rsidRDefault="0077728D" w:rsidP="00AC38DB">
            <w:pPr>
              <w:widowControl/>
              <w:jc w:val="left"/>
              <w:rPr>
                <w:rFonts w:ascii="宋体" w:eastAsia="宋体" w:hAnsi="宋体" w:cs="宋体"/>
                <w:kern w:val="0"/>
                <w:sz w:val="24"/>
              </w:rPr>
            </w:pPr>
          </w:p>
        </w:tc>
        <w:tc>
          <w:tcPr>
            <w:tcW w:w="0" w:type="auto"/>
            <w:tcBorders>
              <w:top w:val="nil"/>
              <w:left w:val="nil"/>
              <w:bottom w:val="nil"/>
              <w:right w:val="nil"/>
            </w:tcBorders>
            <w:hideMark/>
          </w:tcPr>
          <w:p w14:paraId="14E0E027" w14:textId="77777777" w:rsidR="0077728D" w:rsidRPr="00AE3F22" w:rsidRDefault="0077728D" w:rsidP="00AC38DB">
            <w:pPr>
              <w:widowControl/>
              <w:jc w:val="left"/>
              <w:rPr>
                <w:rFonts w:ascii="微软雅黑" w:eastAsia="微软雅黑" w:hAnsi="微软雅黑" w:cs="宋体"/>
                <w:color w:val="000000"/>
                <w:kern w:val="0"/>
                <w:sz w:val="27"/>
                <w:szCs w:val="27"/>
              </w:rPr>
            </w:pPr>
            <w:r w:rsidRPr="00AE3F22">
              <w:rPr>
                <w:rFonts w:ascii="微软雅黑" w:eastAsia="微软雅黑" w:hAnsi="微软雅黑" w:cs="宋体"/>
                <w:noProof/>
                <w:color w:val="000000"/>
                <w:kern w:val="0"/>
                <w:sz w:val="27"/>
                <w:szCs w:val="27"/>
              </w:rPr>
              <w:drawing>
                <wp:inline distT="0" distB="0" distL="0" distR="0" wp14:anchorId="14D7FA62" wp14:editId="209B9E4B">
                  <wp:extent cx="1800000" cy="931915"/>
                  <wp:effectExtent l="0" t="0" r="0" b="1905"/>
                  <wp:docPr id="25" name="图片 25" descr="http://58.246.65.10:8231/UploadFile/2022021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215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31915"/>
                          </a:xfrm>
                          <a:prstGeom prst="rect">
                            <a:avLst/>
                          </a:prstGeom>
                          <a:noFill/>
                          <a:ln>
                            <a:noFill/>
                          </a:ln>
                        </pic:spPr>
                      </pic:pic>
                    </a:graphicData>
                  </a:graphic>
                </wp:inline>
              </w:drawing>
            </w:r>
          </w:p>
        </w:tc>
        <w:tc>
          <w:tcPr>
            <w:tcW w:w="0" w:type="auto"/>
            <w:tcBorders>
              <w:top w:val="nil"/>
              <w:left w:val="nil"/>
              <w:bottom w:val="nil"/>
              <w:right w:val="nil"/>
            </w:tcBorders>
            <w:hideMark/>
          </w:tcPr>
          <w:p w14:paraId="12040353" w14:textId="77777777" w:rsidR="0077728D" w:rsidRPr="00AE3F22" w:rsidRDefault="0077728D" w:rsidP="00AC38DB">
            <w:pPr>
              <w:widowControl/>
              <w:jc w:val="left"/>
              <w:rPr>
                <w:rFonts w:ascii="微软雅黑" w:eastAsia="微软雅黑" w:hAnsi="微软雅黑" w:cs="宋体"/>
                <w:color w:val="000000"/>
                <w:kern w:val="0"/>
                <w:sz w:val="27"/>
                <w:szCs w:val="27"/>
              </w:rPr>
            </w:pPr>
          </w:p>
        </w:tc>
      </w:tr>
    </w:tbl>
    <w:p w14:paraId="07E717E1" w14:textId="77777777" w:rsidR="0077728D" w:rsidRDefault="0077728D" w:rsidP="008B1AEE">
      <w:r>
        <w:t>2月14日，小鹏P5新车型上市，新车共推4款，售价区间为16.47万-19.33万元，享受国补1.26万元。</w:t>
      </w:r>
    </w:p>
    <w:p w14:paraId="478BBDE6" w14:textId="77777777" w:rsidR="0077728D" w:rsidRDefault="0077728D" w:rsidP="008B1AEE">
      <w:r>
        <w:rPr>
          <w:rFonts w:hint="eastAsia"/>
        </w:rPr>
        <w:t>外观方面，新车与现款车型基本保持一致。</w:t>
      </w:r>
    </w:p>
    <w:p w14:paraId="5700EC02" w14:textId="77777777" w:rsidR="0077728D" w:rsidRDefault="0077728D" w:rsidP="008B1AEE">
      <w:r>
        <w:rPr>
          <w:rFonts w:hint="eastAsia"/>
        </w:rPr>
        <w:t>动力方面，新车搭载纯电动机，</w:t>
      </w:r>
      <w:r>
        <w:t>NEDC综合续航里程达450km，510km。</w:t>
      </w:r>
    </w:p>
    <w:p w14:paraId="596ADF31" w14:textId="51B033AE" w:rsidR="0077728D" w:rsidRDefault="0077728D" w:rsidP="008B1AEE">
      <w:pPr>
        <w:rPr>
          <w:rFonts w:cs="宋体"/>
          <w:b/>
          <w:bCs/>
          <w:i/>
          <w:iCs/>
        </w:rPr>
      </w:pPr>
    </w:p>
    <w:p w14:paraId="2B080BEE" w14:textId="77777777" w:rsidR="008B1AEE" w:rsidRPr="00DA5660" w:rsidRDefault="008B1AEE" w:rsidP="008B1AEE">
      <w:pPr>
        <w:pStyle w:val="a8"/>
        <w:numPr>
          <w:ilvl w:val="0"/>
          <w:numId w:val="14"/>
        </w:numPr>
        <w:ind w:firstLineChars="0"/>
        <w:outlineLvl w:val="0"/>
        <w:rPr>
          <w:b/>
        </w:rPr>
      </w:pPr>
      <w:r w:rsidRPr="00C97499">
        <w:rPr>
          <w:rFonts w:cs="宋体" w:hint="eastAsia"/>
          <w:b/>
          <w:bCs/>
        </w:rPr>
        <w:t>宏观经济与政策</w:t>
      </w:r>
    </w:p>
    <w:p w14:paraId="793AFD58" w14:textId="77777777" w:rsidR="0077728D" w:rsidRPr="000E7572" w:rsidRDefault="0077728D" w:rsidP="008B1AEE">
      <w:pPr>
        <w:pStyle w:val="a8"/>
        <w:numPr>
          <w:ilvl w:val="0"/>
          <w:numId w:val="15"/>
        </w:numPr>
        <w:ind w:firstLineChars="0"/>
        <w:outlineLvl w:val="1"/>
        <w:rPr>
          <w:b/>
        </w:rPr>
      </w:pPr>
      <w:r w:rsidRPr="000E7572">
        <w:rPr>
          <w:rFonts w:hint="eastAsia"/>
          <w:b/>
        </w:rPr>
        <w:t>统计局：</w:t>
      </w:r>
      <w:r w:rsidRPr="000E7572">
        <w:rPr>
          <w:b/>
        </w:rPr>
        <w:t>2022年1月份CPI同比上涨0.9%</w:t>
      </w:r>
    </w:p>
    <w:p w14:paraId="533E3C6C" w14:textId="62974EA0" w:rsidR="0077728D" w:rsidRPr="00BD1540" w:rsidRDefault="0077728D" w:rsidP="008B1AEE">
      <w:r>
        <w:t>2022年1月份，CPI同比上涨0.9%，环比上涨0.4%。</w:t>
      </w:r>
    </w:p>
    <w:p w14:paraId="0D8ED250" w14:textId="2FFC9FBC" w:rsidR="00610396" w:rsidRPr="00BD1540" w:rsidRDefault="00BD1540" w:rsidP="00BD1540">
      <w:pPr>
        <w:outlineLvl w:val="1"/>
        <w:rPr>
          <w:b/>
        </w:rPr>
      </w:pPr>
      <w:r>
        <w:rPr>
          <w:rFonts w:hint="eastAsia"/>
          <w:b/>
        </w:rPr>
        <w:t>2</w:t>
      </w:r>
      <w:r>
        <w:rPr>
          <w:b/>
        </w:rPr>
        <w:t>.</w:t>
      </w:r>
      <w:r w:rsidR="00610396" w:rsidRPr="00BD1540">
        <w:rPr>
          <w:rFonts w:hint="eastAsia"/>
          <w:b/>
        </w:rPr>
        <w:t>八部门：加强网约车行业全链条联合监管</w:t>
      </w:r>
    </w:p>
    <w:p w14:paraId="0AB2A0AC" w14:textId="0988A985" w:rsidR="00610396" w:rsidRPr="00BD1540" w:rsidRDefault="00610396" w:rsidP="00610396">
      <w:r>
        <w:rPr>
          <w:rFonts w:hint="eastAsia"/>
        </w:rPr>
        <w:t>交通运输部等</w:t>
      </w:r>
      <w:r>
        <w:t>8部门联合修订发布《关于加强网络预约出租汽车行业事前事中事后全链条联合监管有关工作的通知》。《通知》主要修订内容包括：一是增加了事前联合监管要求。二是完善了全链条联合监管事项。三是细化了全链条联合监管流程。对于网约车平台公司存在严重违法违规行为，经依法依规处理后仍拒不改正的，地级及以上城市相关部门报经当地人民政府同意后，可组织发起联合监管，逐级上报提请采取处置责令暂停区域内经营服务、暂停发布或下架App、停止互联网服务、停止联网或停机整顿等处置措施。</w:t>
      </w:r>
    </w:p>
    <w:p w14:paraId="01CA95D8" w14:textId="48E383BB" w:rsidR="00610396" w:rsidRPr="00BD1540" w:rsidRDefault="00BD1540" w:rsidP="00BD1540">
      <w:pPr>
        <w:outlineLvl w:val="1"/>
        <w:rPr>
          <w:b/>
        </w:rPr>
      </w:pPr>
      <w:r>
        <w:rPr>
          <w:rFonts w:hint="eastAsia"/>
          <w:b/>
        </w:rPr>
        <w:t>3</w:t>
      </w:r>
      <w:r>
        <w:rPr>
          <w:b/>
        </w:rPr>
        <w:t>.</w:t>
      </w:r>
      <w:r w:rsidR="00610396" w:rsidRPr="00BD1540">
        <w:rPr>
          <w:rFonts w:hint="eastAsia"/>
          <w:b/>
        </w:rPr>
        <w:t>普通货车网上年审工作规范征求意见稿发布</w:t>
      </w:r>
    </w:p>
    <w:p w14:paraId="53E32B27" w14:textId="77777777" w:rsidR="00610396" w:rsidRDefault="00610396" w:rsidP="00610396">
      <w:r>
        <w:t>2021年2月14日，中华人民共和国交通运输部运输服务司正式对外发布了《道路普通货物运输车辆网上年度审验工作规范(征求意见稿)》公开征求意见的通知。</w:t>
      </w:r>
    </w:p>
    <w:p w14:paraId="5FC74941" w14:textId="5B41750C" w:rsidR="00610396" w:rsidRPr="00BD1540" w:rsidRDefault="00610396" w:rsidP="00610396">
      <w:r>
        <w:rPr>
          <w:rFonts w:hint="eastAsia"/>
        </w:rPr>
        <w:t>该《征求意见稿》是为了贯彻落实国务院“放管服”改革有关部署，规范道路普通货物运输车辆网上年度审验工作，按照《交通运输部行政规范性文件制定和管理办法》有关规定，运输服务司组织对《道路普通货物运输车辆网上年度审验工作规范》</w:t>
      </w:r>
      <w:r>
        <w:t>(交办运〔2019〕46号)进行了修订，形成了征求意见稿，现向社会公开征求意见。据悉，该意见反馈截止时间为2022年2月28日。</w:t>
      </w:r>
    </w:p>
    <w:p w14:paraId="7B522D88" w14:textId="71CF2B27" w:rsidR="00610396" w:rsidRPr="00BD1540" w:rsidRDefault="00BD1540" w:rsidP="00BD1540">
      <w:pPr>
        <w:outlineLvl w:val="1"/>
        <w:rPr>
          <w:b/>
        </w:rPr>
      </w:pPr>
      <w:r>
        <w:rPr>
          <w:rFonts w:hint="eastAsia"/>
          <w:b/>
        </w:rPr>
        <w:t>4</w:t>
      </w:r>
      <w:r>
        <w:rPr>
          <w:b/>
        </w:rPr>
        <w:t>.</w:t>
      </w:r>
      <w:r w:rsidR="00610396" w:rsidRPr="00BD1540">
        <w:rPr>
          <w:rFonts w:hint="eastAsia"/>
          <w:b/>
        </w:rPr>
        <w:t>油价</w:t>
      </w:r>
      <w:r w:rsidR="00610396" w:rsidRPr="00BD1540">
        <w:rPr>
          <w:b/>
        </w:rPr>
        <w:t>2月17日24时开启调整</w:t>
      </w:r>
    </w:p>
    <w:p w14:paraId="1AA9C254" w14:textId="77777777" w:rsidR="00610396" w:rsidRDefault="00610396" w:rsidP="00610396">
      <w:r>
        <w:rPr>
          <w:rFonts w:hint="eastAsia"/>
        </w:rPr>
        <w:t>燃油车主注意了，两天后，也就是本月</w:t>
      </w:r>
      <w:r>
        <w:t>17日24时起，国内成品油价或再次迎来涨价。</w:t>
      </w:r>
    </w:p>
    <w:p w14:paraId="7D90D72B" w14:textId="77777777" w:rsidR="00610396" w:rsidRDefault="00610396" w:rsidP="00610396">
      <w:r>
        <w:rPr>
          <w:rFonts w:hint="eastAsia"/>
        </w:rPr>
        <w:t>根据国际油价趋势，目前预计上调油价</w:t>
      </w:r>
      <w:r>
        <w:t>165元/吨，超过上调红线，折合升计算为预计油价上调0.13元/升-0.15元/升，以家用车50L的容量计算，加满一箱油需要多花6.5-7.5元。</w:t>
      </w:r>
    </w:p>
    <w:p w14:paraId="441CD977" w14:textId="33B76769" w:rsidR="00610396" w:rsidRPr="00BD1540" w:rsidRDefault="00610396" w:rsidP="00610396">
      <w:r>
        <w:t>2022年以来，受多种因素影响，国际油价不断上涨，美布双原油从每桶70美元到80美元接着突破90美元上方，只用短短一个半月左右。</w:t>
      </w:r>
    </w:p>
    <w:p w14:paraId="21CF7336" w14:textId="1E71E8E4" w:rsidR="00610396" w:rsidRPr="00BD1540" w:rsidRDefault="00BD1540" w:rsidP="00BD1540">
      <w:pPr>
        <w:outlineLvl w:val="1"/>
        <w:rPr>
          <w:b/>
        </w:rPr>
      </w:pPr>
      <w:r>
        <w:rPr>
          <w:rFonts w:hint="eastAsia"/>
          <w:b/>
        </w:rPr>
        <w:t>5</w:t>
      </w:r>
      <w:r>
        <w:rPr>
          <w:b/>
        </w:rPr>
        <w:t>.</w:t>
      </w:r>
      <w:r w:rsidR="00610396" w:rsidRPr="00BD1540">
        <w:rPr>
          <w:rFonts w:hint="eastAsia"/>
          <w:b/>
        </w:rPr>
        <w:t>浙江：引导社会车辆新能源化发展</w:t>
      </w:r>
    </w:p>
    <w:p w14:paraId="0DCF779C" w14:textId="13002615" w:rsidR="00610396" w:rsidRPr="00BD1540" w:rsidRDefault="00610396" w:rsidP="00610396">
      <w:r>
        <w:t>2月16日，中共浙江省委、浙江省人民政府发布《关于完整准确全面贯彻新发展理念做好碳达峰碳中和工作的实施意见》。其中提出，推动交通运输装备低碳化。加大新能源推广政策支持力度，推进以电力、氢能等新能源为动力的运输装备应用，加快城市公交、一般公务车辆新能源替代，引导社会车辆新能源化发展。全面淘汰国三以下排放标准老旧营运柴油货车，逐步提高柴油货车淘汰标准。严格设置高碳排放车辆限行区域和时段。</w:t>
      </w:r>
    </w:p>
    <w:p w14:paraId="6B2C6254" w14:textId="38965D09" w:rsidR="00610396" w:rsidRDefault="00BD1540" w:rsidP="00BD1540">
      <w:pPr>
        <w:outlineLvl w:val="1"/>
      </w:pPr>
      <w:r>
        <w:rPr>
          <w:rFonts w:hint="eastAsia"/>
          <w:b/>
        </w:rPr>
        <w:t>6</w:t>
      </w:r>
      <w:r>
        <w:rPr>
          <w:b/>
        </w:rPr>
        <w:t>.</w:t>
      </w:r>
      <w:r w:rsidR="00610396" w:rsidRPr="00BD1540">
        <w:rPr>
          <w:rFonts w:hint="eastAsia"/>
          <w:b/>
        </w:rPr>
        <w:t>发改委</w:t>
      </w:r>
      <w:r w:rsidR="00610396" w:rsidRPr="00BD1540">
        <w:rPr>
          <w:b/>
        </w:rPr>
        <w:t>:完善能源绿色低碳转型体制机制</w:t>
      </w:r>
    </w:p>
    <w:p w14:paraId="20C5155F" w14:textId="77777777" w:rsidR="00610396" w:rsidRDefault="00610396" w:rsidP="00610396">
      <w:r>
        <w:rPr>
          <w:rFonts w:hint="eastAsia"/>
        </w:rPr>
        <w:t>在“十四五”时期，我国将基本建立推进能源绿色低碳发展的制度框架，形成比较完善的政策、标准、市场和监管体系，构建以能耗“双控”和非化石能源目标制度为引领的能源绿色低碳转型推进机制。</w:t>
      </w:r>
    </w:p>
    <w:p w14:paraId="5C886AFE" w14:textId="7B7BFA15" w:rsidR="00610396" w:rsidRPr="00BD1540" w:rsidRDefault="00610396" w:rsidP="00610396">
      <w:r>
        <w:rPr>
          <w:rFonts w:hint="eastAsia"/>
        </w:rPr>
        <w:t>到</w:t>
      </w:r>
      <w:r>
        <w:t>2030年，基本建立完整的能源绿色低碳发展基本制度和政策体系，形成非化石能源既基本满足能源需求增量又规模化替代化石能源存量、能源安全保障能力得到全面增强的能源生产消费格局。</w:t>
      </w:r>
    </w:p>
    <w:p w14:paraId="787D68F6" w14:textId="25A785B0" w:rsidR="00610396" w:rsidRPr="00BD1540" w:rsidRDefault="00BD1540" w:rsidP="00BD1540">
      <w:pPr>
        <w:outlineLvl w:val="1"/>
        <w:rPr>
          <w:b/>
        </w:rPr>
      </w:pPr>
      <w:r>
        <w:rPr>
          <w:rFonts w:hint="eastAsia"/>
          <w:b/>
        </w:rPr>
        <w:t>7</w:t>
      </w:r>
      <w:r>
        <w:rPr>
          <w:b/>
        </w:rPr>
        <w:t>.</w:t>
      </w:r>
      <w:r w:rsidR="00610396" w:rsidRPr="00BD1540">
        <w:rPr>
          <w:rFonts w:hint="eastAsia"/>
          <w:b/>
        </w:rPr>
        <w:t>海口：加强网约车营销推广规范工作</w:t>
      </w:r>
    </w:p>
    <w:p w14:paraId="2C35793D" w14:textId="26C075A6" w:rsidR="00610396" w:rsidRPr="00BD1540" w:rsidRDefault="00610396" w:rsidP="00610396">
      <w:r>
        <w:rPr>
          <w:rFonts w:hint="eastAsia"/>
        </w:rPr>
        <w:t>海口市交通运输和港航管理局发布《关于依法全面规范网约车推广营销行为的通知》，将在未来加强网约车公司地面推广营销活动的规范监管。原文如下：根据《关于维护公平竞年市场秩序加快推进网约车合规化的通知》（交运明电〔</w:t>
      </w:r>
      <w:r>
        <w:t>2021〕223号）《关于加强网络预约出租汽车行业事前事中事后全链条联合监管有关工作的通知》（交办运〔202216号），“地推活动”存在涉嫌低价倾销、欺诈、对个人在交易条件上实行不合理的差别待遇以及危害公众利益、扰乱社会秩序、影响社会安全稳定等违法违规的行为。</w:t>
      </w:r>
    </w:p>
    <w:p w14:paraId="1A78D7BA" w14:textId="05CA7C6B" w:rsidR="00610396" w:rsidRPr="00BD1540" w:rsidRDefault="00BD1540" w:rsidP="00BD1540">
      <w:pPr>
        <w:outlineLvl w:val="1"/>
        <w:rPr>
          <w:b/>
        </w:rPr>
      </w:pPr>
      <w:r>
        <w:rPr>
          <w:rFonts w:hint="eastAsia"/>
          <w:b/>
        </w:rPr>
        <w:t>8</w:t>
      </w:r>
      <w:r>
        <w:rPr>
          <w:b/>
        </w:rPr>
        <w:t>.</w:t>
      </w:r>
      <w:r w:rsidR="00610396" w:rsidRPr="00BD1540">
        <w:rPr>
          <w:rFonts w:hint="eastAsia"/>
          <w:b/>
        </w:rPr>
        <w:t>黑龙江省发布新能源汽车产业发展规划</w:t>
      </w:r>
    </w:p>
    <w:p w14:paraId="28F8C7C0" w14:textId="77777777" w:rsidR="00610396" w:rsidRDefault="00610396" w:rsidP="00610396">
      <w:r>
        <w:t>黑龙江省工业和信息化厅发布了《黑龙江省新能源汽车产业发展规划（2022—2025年）》，规划指出了黑龙江省将将把新能源汽车产业作为重要战略产业，纳入黑龙江省工业振兴计划。到2025年黑龙江省新能源汽车总产量将达到10万辆，力争全产业链实现主营业务收入450亿元。新能源汽车关键技术取得突破，培育10家专精特新中小企业，引进10家新能源汽车产业链上的优质企业。</w:t>
      </w:r>
    </w:p>
    <w:p w14:paraId="6B13C7AC" w14:textId="77777777" w:rsidR="00610396" w:rsidRDefault="00610396" w:rsidP="00610396">
      <w:pPr>
        <w:rPr>
          <w:rFonts w:cs="宋体"/>
          <w:b/>
          <w:bCs/>
          <w:i/>
          <w:iCs/>
        </w:rPr>
      </w:pPr>
    </w:p>
    <w:p w14:paraId="0AE7F24D" w14:textId="77777777" w:rsidR="008B1AEE" w:rsidRPr="00567A78" w:rsidRDefault="008B1AEE" w:rsidP="008B1AEE">
      <w:pPr>
        <w:pStyle w:val="a8"/>
        <w:numPr>
          <w:ilvl w:val="0"/>
          <w:numId w:val="8"/>
        </w:numPr>
        <w:ind w:firstLineChars="0"/>
        <w:outlineLvl w:val="0"/>
        <w:rPr>
          <w:b/>
        </w:rPr>
      </w:pPr>
      <w:r w:rsidRPr="002009FE">
        <w:rPr>
          <w:rFonts w:cs="宋体" w:hint="eastAsia"/>
          <w:b/>
          <w:bCs/>
        </w:rPr>
        <w:t>新品信息跟踪</w:t>
      </w:r>
    </w:p>
    <w:p w14:paraId="15632FA3" w14:textId="77777777" w:rsidR="0077728D" w:rsidRPr="00DE001F" w:rsidRDefault="0077728D" w:rsidP="008B1AEE">
      <w:pPr>
        <w:pStyle w:val="a8"/>
        <w:numPr>
          <w:ilvl w:val="3"/>
          <w:numId w:val="9"/>
        </w:numPr>
        <w:ind w:left="426" w:firstLineChars="0"/>
        <w:outlineLvl w:val="1"/>
        <w:rPr>
          <w:b/>
        </w:rPr>
      </w:pPr>
      <w:r w:rsidRPr="00DE001F">
        <w:rPr>
          <w:b/>
        </w:rPr>
        <w:t>腾势全新MPV</w:t>
      </w:r>
    </w:p>
    <w:p w14:paraId="19274F7E" w14:textId="77777777" w:rsidR="0077728D" w:rsidRDefault="0077728D" w:rsidP="008B1AEE">
      <w:r>
        <w:rPr>
          <w:noProof/>
          <w:color w:val="000000"/>
        </w:rPr>
        <w:drawing>
          <wp:inline distT="0" distB="0" distL="0" distR="0" wp14:anchorId="1BB6951A" wp14:editId="473BC185">
            <wp:extent cx="1800000" cy="1125000"/>
            <wp:effectExtent l="0" t="0" r="0" b="0"/>
            <wp:docPr id="26" name="图片 26" descr="http://dss.way-s.cn/news/net_images/autohome/75c24981e955fc211d86bf310c525705de84568b/79b7d89214ae172f676159275ffbcfff8f55f18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autohome/75c24981e955fc211d86bf310c525705de84568b/79b7d89214ae172f676159275ffbcfff8f55f18c.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14214EFF" w14:textId="77777777" w:rsidR="0077728D" w:rsidRDefault="0077728D" w:rsidP="008B1AEE">
      <w:r>
        <w:rPr>
          <w:rFonts w:hint="eastAsia"/>
        </w:rPr>
        <w:t>比亚迪高端品牌筹备办公室主任</w:t>
      </w:r>
      <w:r>
        <w:t>赵长江在国内社交平台处分享了腾势品牌的最新动作，其中包括即将在年内推出的三款车型（中型SUV、中大型SUV以及MPV三款车型），以及全新MPV的部分配置信息。通过赵长江官微的微博以及与网友互动能够看到，腾势品牌即将推出的全新MPV拥有15cm的离地间隙、第三排座椅可放平、第三排座椅支持ISOFIX（儿童座椅固定装置）等。值得一提的是，这款车未来将采用专属设计团队为其设计整体造型，并非比亚迪全球设计总监艾格进行操刀。</w:t>
      </w:r>
    </w:p>
    <w:p w14:paraId="5CE04548" w14:textId="7246E12E" w:rsidR="0077728D" w:rsidRDefault="0077728D" w:rsidP="008B1AEE">
      <w:pPr>
        <w:rPr>
          <w:rFonts w:cs="宋体"/>
          <w:b/>
          <w:bCs/>
          <w:i/>
          <w:iCs/>
        </w:rPr>
      </w:pPr>
    </w:p>
    <w:p w14:paraId="13D0C21F" w14:textId="77777777" w:rsidR="008B1AEE" w:rsidRPr="002009FE" w:rsidRDefault="008B1AEE" w:rsidP="008B1AEE">
      <w:pPr>
        <w:pStyle w:val="a8"/>
        <w:numPr>
          <w:ilvl w:val="0"/>
          <w:numId w:val="4"/>
        </w:numPr>
        <w:ind w:firstLineChars="0"/>
        <w:outlineLvl w:val="0"/>
      </w:pPr>
      <w:r>
        <w:rPr>
          <w:rFonts w:cs="宋体" w:hint="eastAsia"/>
          <w:b/>
          <w:bCs/>
        </w:rPr>
        <w:t>企业信息</w:t>
      </w:r>
    </w:p>
    <w:p w14:paraId="4B160A07" w14:textId="77777777" w:rsidR="00610396" w:rsidRPr="00E71C7E" w:rsidRDefault="00610396" w:rsidP="008B1AEE">
      <w:pPr>
        <w:pStyle w:val="a8"/>
        <w:numPr>
          <w:ilvl w:val="3"/>
          <w:numId w:val="17"/>
        </w:numPr>
        <w:ind w:firstLineChars="0"/>
        <w:jc w:val="left"/>
        <w:outlineLvl w:val="1"/>
        <w:rPr>
          <w:b/>
        </w:rPr>
      </w:pPr>
      <w:r w:rsidRPr="00E71C7E">
        <w:rPr>
          <w:rFonts w:hint="eastAsia"/>
          <w:b/>
        </w:rPr>
        <w:t>奥迪一汽新能源工厂</w:t>
      </w:r>
      <w:r w:rsidRPr="00E71C7E">
        <w:rPr>
          <w:b/>
        </w:rPr>
        <w:t>4月开工规划产能15万辆</w:t>
      </w:r>
    </w:p>
    <w:p w14:paraId="2D18FF00" w14:textId="5A7BE381" w:rsidR="00610396" w:rsidRPr="00BD1540" w:rsidRDefault="00610396" w:rsidP="008B1AEE">
      <w:r>
        <w:t>奥迪一汽新能源汽车项目获吉林省发改委产业处投资项目备案公示。根据公示，奥迪PPE电动车工厂将在4月开建，预计于2024年12月竣工，产能将达到15万辆/年。建成后将生产B+SUVe-tron/B+SAVe-tron/CLimLWBe-tron等新能源车型。</w:t>
      </w:r>
    </w:p>
    <w:p w14:paraId="5645D33A" w14:textId="77777777" w:rsidR="00610396" w:rsidRPr="00CB6B47" w:rsidRDefault="00610396" w:rsidP="008B1AEE">
      <w:pPr>
        <w:pStyle w:val="a8"/>
        <w:numPr>
          <w:ilvl w:val="3"/>
          <w:numId w:val="17"/>
        </w:numPr>
        <w:ind w:firstLineChars="0"/>
        <w:jc w:val="left"/>
        <w:outlineLvl w:val="1"/>
        <w:rPr>
          <w:b/>
        </w:rPr>
      </w:pPr>
      <w:r w:rsidRPr="00CB6B47">
        <w:rPr>
          <w:rFonts w:hint="eastAsia"/>
          <w:b/>
        </w:rPr>
        <w:t>比亚迪发布全新品牌标识</w:t>
      </w:r>
    </w:p>
    <w:p w14:paraId="5CA81757" w14:textId="5DD3C40C" w:rsidR="00610396" w:rsidRPr="00BD1540" w:rsidRDefault="00610396" w:rsidP="008B1AEE">
      <w:r>
        <w:t>比亚迪集团宣布对其品牌进行焕新升级，发布新标识，此外，其旗下的比亚迪汽车也对标识进行了升级。</w:t>
      </w:r>
    </w:p>
    <w:p w14:paraId="3794409E" w14:textId="77777777" w:rsidR="00610396" w:rsidRPr="0037614E" w:rsidRDefault="00610396" w:rsidP="008B1AEE">
      <w:pPr>
        <w:pStyle w:val="a8"/>
        <w:numPr>
          <w:ilvl w:val="3"/>
          <w:numId w:val="17"/>
        </w:numPr>
        <w:ind w:firstLineChars="0"/>
        <w:jc w:val="left"/>
        <w:outlineLvl w:val="1"/>
        <w:rPr>
          <w:b/>
        </w:rPr>
      </w:pPr>
      <w:r w:rsidRPr="0037614E">
        <w:rPr>
          <w:rFonts w:hint="eastAsia"/>
          <w:b/>
        </w:rPr>
        <w:t>比亚迪新设子公司经营范围含充换电设施销售</w:t>
      </w:r>
    </w:p>
    <w:p w14:paraId="3A5BBD36" w14:textId="2014E7B0" w:rsidR="00610396" w:rsidRPr="00BD1540" w:rsidRDefault="00610396" w:rsidP="008B1AEE">
      <w:r w:rsidRPr="00FD7BB7">
        <w:t>2月14日，腾势汽车销售服务有限公司成立，法定代表人为何志奇，注册资本5000万元人民币。公司经营范围包括新能源汽车整车销售、电动汽车充电基础设施运营、新能源汽车换电设施销售、充电桩销售等。股东信息显示，该公司由比亚迪汽车工业有限公司全资持股。</w:t>
      </w:r>
    </w:p>
    <w:p w14:paraId="6C7699B4" w14:textId="77777777" w:rsidR="00610396" w:rsidRPr="00E71C7E" w:rsidRDefault="00610396" w:rsidP="008B1AEE">
      <w:pPr>
        <w:pStyle w:val="a8"/>
        <w:numPr>
          <w:ilvl w:val="3"/>
          <w:numId w:val="17"/>
        </w:numPr>
        <w:ind w:firstLineChars="0"/>
        <w:jc w:val="left"/>
        <w:outlineLvl w:val="1"/>
        <w:rPr>
          <w:b/>
        </w:rPr>
      </w:pPr>
      <w:r w:rsidRPr="00E71C7E">
        <w:rPr>
          <w:rFonts w:hint="eastAsia"/>
          <w:b/>
        </w:rPr>
        <w:t>比亚迪正式成立腾势汽车销售服务公司</w:t>
      </w:r>
    </w:p>
    <w:p w14:paraId="468710D5" w14:textId="5D0910EB" w:rsidR="00610396" w:rsidRPr="00BD1540" w:rsidRDefault="00610396" w:rsidP="008B1AEE">
      <w:r>
        <w:t>比亚迪汽车工业有限公司新增对外投资，新增投资企业为腾势汽车销售服务有限公司，投资比例100%。公司经营范围包括汽车新车销售；新能源汽车整车销售；新能源汽车电附件销售等。该公司由比亚迪汽车工业有限公司100%控股。</w:t>
      </w:r>
    </w:p>
    <w:p w14:paraId="4CE0AC20" w14:textId="77777777" w:rsidR="00610396" w:rsidRPr="005C3D0C" w:rsidRDefault="00610396" w:rsidP="008B1AEE">
      <w:pPr>
        <w:pStyle w:val="a8"/>
        <w:numPr>
          <w:ilvl w:val="3"/>
          <w:numId w:val="17"/>
        </w:numPr>
        <w:ind w:firstLineChars="0"/>
        <w:jc w:val="left"/>
        <w:outlineLvl w:val="1"/>
        <w:rPr>
          <w:b/>
        </w:rPr>
      </w:pPr>
      <w:r w:rsidRPr="005C3D0C">
        <w:rPr>
          <w:rFonts w:hint="eastAsia"/>
          <w:b/>
        </w:rPr>
        <w:t>广汽埃安工厂产能扩建至</w:t>
      </w:r>
      <w:r w:rsidRPr="005C3D0C">
        <w:rPr>
          <w:b/>
        </w:rPr>
        <w:t>20万辆/年</w:t>
      </w:r>
    </w:p>
    <w:p w14:paraId="2100A608" w14:textId="3FDAFA3D" w:rsidR="00610396" w:rsidRPr="00BD1540" w:rsidRDefault="00610396" w:rsidP="008B1AEE">
      <w:r w:rsidRPr="00EB7207">
        <w:t>2月18日，广汽埃安宣布其智能生态工厂二期能扩项目竣工。据悉，该工厂采用大数据实时仿真虚拟调试，调试时间节约30%，乐高式模块预组装，独立装配，安装效率提升40%，15天完成产能翻番。</w:t>
      </w:r>
    </w:p>
    <w:p w14:paraId="4E0EB38F" w14:textId="77777777" w:rsidR="00610396" w:rsidRPr="00133823" w:rsidRDefault="00610396" w:rsidP="008B1AEE">
      <w:pPr>
        <w:pStyle w:val="a8"/>
        <w:numPr>
          <w:ilvl w:val="3"/>
          <w:numId w:val="17"/>
        </w:numPr>
        <w:ind w:firstLineChars="0"/>
        <w:jc w:val="left"/>
        <w:outlineLvl w:val="1"/>
        <w:rPr>
          <w:b/>
        </w:rPr>
      </w:pPr>
      <w:r w:rsidRPr="00133823">
        <w:rPr>
          <w:rFonts w:hint="eastAsia"/>
          <w:b/>
        </w:rPr>
        <w:t>广汽拟投入</w:t>
      </w:r>
      <w:r w:rsidRPr="00133823">
        <w:rPr>
          <w:b/>
        </w:rPr>
        <w:t>850-1000亿元实施智能网联新能源项目</w:t>
      </w:r>
    </w:p>
    <w:p w14:paraId="40868E46" w14:textId="4EBEBB18" w:rsidR="00610396" w:rsidRPr="00BD1540" w:rsidRDefault="00610396" w:rsidP="008B1AEE">
      <w:r w:rsidRPr="002472D5">
        <w:t>在春节前举行的广东省巩固国企改革发展成果，推动国资国企高质量发展新闻发布会上，广汽集团董事长曾庆洪表示，“十四五”期末，广汽要挑战年产销量350万辆，全集团汇总营业收入超6000亿元，利税总额超660亿元。未来，广汽集团计划投入850亿到1000亿元实施智能网联新能源方面的重大项目。</w:t>
      </w:r>
    </w:p>
    <w:p w14:paraId="050CFD75" w14:textId="77777777" w:rsidR="00610396" w:rsidRPr="00955C3D" w:rsidRDefault="00610396" w:rsidP="008B1AEE">
      <w:pPr>
        <w:pStyle w:val="a8"/>
        <w:numPr>
          <w:ilvl w:val="3"/>
          <w:numId w:val="17"/>
        </w:numPr>
        <w:ind w:firstLineChars="0"/>
        <w:jc w:val="left"/>
        <w:outlineLvl w:val="1"/>
        <w:rPr>
          <w:b/>
        </w:rPr>
      </w:pPr>
      <w:r w:rsidRPr="00955C3D">
        <w:rPr>
          <w:rFonts w:hint="eastAsia"/>
          <w:b/>
        </w:rPr>
        <w:t>海马汽车约</w:t>
      </w:r>
      <w:r w:rsidRPr="00955C3D">
        <w:rPr>
          <w:b/>
        </w:rPr>
        <w:t>5.513亿元增资郑州海马新能源</w:t>
      </w:r>
    </w:p>
    <w:p w14:paraId="430B216F" w14:textId="061C65C2" w:rsidR="00610396" w:rsidRPr="00BD1540" w:rsidRDefault="00610396" w:rsidP="008B1AEE">
      <w:r>
        <w:t>海马汽车股份有限公司全资子公司海马汽车与其全资子公司郑州海马新能源科技有限公司签订《增资协议》。增资完成后，海马新能源科技注册资本金由600万元变更为5.57亿元。</w:t>
      </w:r>
    </w:p>
    <w:p w14:paraId="45396559" w14:textId="77777777" w:rsidR="00610396" w:rsidRPr="00DE001F" w:rsidRDefault="00610396" w:rsidP="008B1AEE">
      <w:pPr>
        <w:pStyle w:val="a8"/>
        <w:numPr>
          <w:ilvl w:val="3"/>
          <w:numId w:val="17"/>
        </w:numPr>
        <w:ind w:firstLineChars="0"/>
        <w:jc w:val="left"/>
        <w:outlineLvl w:val="1"/>
        <w:rPr>
          <w:b/>
        </w:rPr>
      </w:pPr>
      <w:r w:rsidRPr="00DE001F">
        <w:rPr>
          <w:rFonts w:hint="eastAsia"/>
          <w:b/>
        </w:rPr>
        <w:t>极星</w:t>
      </w:r>
      <w:r w:rsidRPr="00DE001F">
        <w:rPr>
          <w:b/>
        </w:rPr>
        <w:t>5将基于自研的全铝粘接平台打造</w:t>
      </w:r>
    </w:p>
    <w:p w14:paraId="69BD1926" w14:textId="0A787562" w:rsidR="00610396" w:rsidRPr="00BD1540" w:rsidRDefault="00610396" w:rsidP="008B1AEE">
      <w:r>
        <w:t>Polestar极星品牌官方宣布，即将推出的高性能纯电动4门GT轿跑极星5，将基于一款全新的定制化全铝粘接平台打造。据悉，新车将会在2024年正式发布，此外官方还提到，极星3将会在今年年内发布。极星英国研发中心位于英国中部的MotorsportValley，这里以世界顶级汽车运动的中心而闻名，极星英国研发中心拥有超过280名行业顶尖的工程师，他们有着丰富的F1赛车和小批量定制化高端跑车的工程研发经验。全铝粘接平台具有轻量化、高刚度、高性能、环保的优点，但这项技术也曾经面临大批量生产质量稳定性的挑战。</w:t>
      </w:r>
    </w:p>
    <w:p w14:paraId="52AA6F74" w14:textId="77777777" w:rsidR="00610396" w:rsidRPr="00CB6B47" w:rsidRDefault="00610396" w:rsidP="008B1AEE">
      <w:pPr>
        <w:pStyle w:val="a8"/>
        <w:numPr>
          <w:ilvl w:val="3"/>
          <w:numId w:val="17"/>
        </w:numPr>
        <w:ind w:firstLineChars="0"/>
        <w:jc w:val="left"/>
        <w:outlineLvl w:val="1"/>
        <w:rPr>
          <w:b/>
        </w:rPr>
      </w:pPr>
      <w:r w:rsidRPr="00CB6B47">
        <w:rPr>
          <w:rFonts w:hint="eastAsia"/>
          <w:b/>
        </w:rPr>
        <w:t>岚图汽车宣布出海</w:t>
      </w:r>
      <w:r w:rsidRPr="00CB6B47">
        <w:rPr>
          <w:b/>
        </w:rPr>
        <w:t>6月将首站登陆挪威</w:t>
      </w:r>
    </w:p>
    <w:p w14:paraId="018E2403" w14:textId="4A3BE307" w:rsidR="00610396" w:rsidRPr="00BD1540" w:rsidRDefault="00610396" w:rsidP="008B1AEE">
      <w:r>
        <w:t>2月17日，岚图汽车宣布正式进军欧洲市场，首站登陆挪威，成为新能源国家队首个出海品牌。当日，岚图汽车与中国东风汽车工业进出口有限公司在武汉正式签署协议。</w:t>
      </w:r>
    </w:p>
    <w:p w14:paraId="45082F2D" w14:textId="77777777" w:rsidR="00610396" w:rsidRPr="005C3D0C" w:rsidRDefault="00610396" w:rsidP="008B1AEE">
      <w:pPr>
        <w:pStyle w:val="a8"/>
        <w:numPr>
          <w:ilvl w:val="3"/>
          <w:numId w:val="17"/>
        </w:numPr>
        <w:ind w:firstLineChars="0"/>
        <w:jc w:val="left"/>
        <w:outlineLvl w:val="1"/>
        <w:rPr>
          <w:b/>
        </w:rPr>
      </w:pPr>
      <w:r w:rsidRPr="005C3D0C">
        <w:rPr>
          <w:rFonts w:hint="eastAsia"/>
          <w:b/>
        </w:rPr>
        <w:t>理想汽车第三工厂落户重庆</w:t>
      </w:r>
      <w:r w:rsidRPr="005C3D0C">
        <w:rPr>
          <w:b/>
        </w:rPr>
        <w:t>设计产能或超常州、北京工厂之和</w:t>
      </w:r>
    </w:p>
    <w:p w14:paraId="29E7C1CE" w14:textId="768166BF" w:rsidR="00610396" w:rsidRPr="00BD1540" w:rsidRDefault="00610396" w:rsidP="008B1AEE">
      <w:r w:rsidRPr="00AF3613">
        <w:rPr>
          <w:rFonts w:hint="eastAsia"/>
        </w:rPr>
        <w:t>理想汽车的第三工厂或已敲定落户汽车重镇重庆。据重庆市公共资源交易监督网公布，重庆两江新区水土组团</w:t>
      </w:r>
      <w:r w:rsidRPr="00AF3613">
        <w:t>A分区A16-8地块完成成交，成交时间为2022年1月27日。该地块土地面积为113.34万平方米，成交价4.3069亿元，受让方为重庆车之渝汽车工业有限公司，土地使用条件的产业类别为交通运输设备制造业。</w:t>
      </w:r>
    </w:p>
    <w:p w14:paraId="745A3075" w14:textId="77777777" w:rsidR="00610396" w:rsidRPr="000E7572" w:rsidRDefault="00610396" w:rsidP="008B1AEE">
      <w:pPr>
        <w:pStyle w:val="a8"/>
        <w:numPr>
          <w:ilvl w:val="3"/>
          <w:numId w:val="17"/>
        </w:numPr>
        <w:ind w:firstLineChars="0"/>
        <w:jc w:val="left"/>
        <w:outlineLvl w:val="1"/>
        <w:rPr>
          <w:b/>
        </w:rPr>
      </w:pPr>
      <w:r w:rsidRPr="000E7572">
        <w:rPr>
          <w:rFonts w:hint="eastAsia"/>
          <w:b/>
        </w:rPr>
        <w:t>零部件短缺</w:t>
      </w:r>
      <w:r w:rsidRPr="000E7572">
        <w:rPr>
          <w:b/>
        </w:rPr>
        <w:t>欧拉黑猫/白猫暂停新订单</w:t>
      </w:r>
    </w:p>
    <w:p w14:paraId="3B92A1D1" w14:textId="5D4F9A1B" w:rsidR="00610396" w:rsidRPr="00BD1540" w:rsidRDefault="00610396" w:rsidP="008B1AEE">
      <w:r>
        <w:t>欧拉旗下两款微型纯电动车型——欧拉黑猫、欧拉白猫从即日起不再接受新车订单，持续时间未知。值得注意的是，造成停止接单的原因或为零部件短缺。</w:t>
      </w:r>
    </w:p>
    <w:p w14:paraId="0356906B" w14:textId="77777777" w:rsidR="00610396" w:rsidRPr="00257DBE" w:rsidRDefault="00610396" w:rsidP="008B1AEE">
      <w:pPr>
        <w:pStyle w:val="a8"/>
        <w:numPr>
          <w:ilvl w:val="3"/>
          <w:numId w:val="17"/>
        </w:numPr>
        <w:ind w:firstLineChars="0"/>
        <w:jc w:val="left"/>
        <w:outlineLvl w:val="1"/>
        <w:rPr>
          <w:b/>
        </w:rPr>
      </w:pPr>
      <w:r w:rsidRPr="00257DBE">
        <w:rPr>
          <w:rFonts w:hint="eastAsia"/>
          <w:b/>
        </w:rPr>
        <w:t>美的新能源零部件基地落户安庆</w:t>
      </w:r>
      <w:r w:rsidRPr="00257DBE">
        <w:rPr>
          <w:b/>
        </w:rPr>
        <w:t>总投资约110亿</w:t>
      </w:r>
    </w:p>
    <w:p w14:paraId="2AEF02E8" w14:textId="77777777" w:rsidR="00610396" w:rsidRDefault="00610396" w:rsidP="008B1AEE">
      <w:r>
        <w:t>美的集团新能源汽车零部件战略新基地落户安徽省安庆市圆梦新区，作为美的集团的重要战略项目，该新基地项目总投资约110亿元，其中固投资产投资约65亿元。</w:t>
      </w:r>
    </w:p>
    <w:p w14:paraId="3461D588" w14:textId="51D7ED3A" w:rsidR="00610396" w:rsidRPr="00BD1540" w:rsidRDefault="00610396" w:rsidP="008B1AEE">
      <w:r>
        <w:rPr>
          <w:rFonts w:hint="eastAsia"/>
        </w:rPr>
        <w:t>据悉，项目主要生产新能源汽车电动压缩机、新能源汽车驱动电机、助力转向电机等品类，建成后可形成年产</w:t>
      </w:r>
      <w:r>
        <w:t>6000万套产能，实现年产值400亿元，另外项目还将打造热管理、主驱动、辅助/智能驾驶三大系统研发中心及国家级实验室。</w:t>
      </w:r>
    </w:p>
    <w:p w14:paraId="284987CB" w14:textId="77777777" w:rsidR="00610396" w:rsidRPr="005C3D0C" w:rsidRDefault="00610396" w:rsidP="008B1AEE">
      <w:pPr>
        <w:pStyle w:val="a8"/>
        <w:numPr>
          <w:ilvl w:val="3"/>
          <w:numId w:val="17"/>
        </w:numPr>
        <w:ind w:firstLineChars="0"/>
        <w:jc w:val="left"/>
        <w:outlineLvl w:val="1"/>
        <w:rPr>
          <w:b/>
        </w:rPr>
      </w:pPr>
      <w:r w:rsidRPr="005C3D0C">
        <w:rPr>
          <w:rFonts w:hint="eastAsia"/>
          <w:b/>
        </w:rPr>
        <w:t>哪吒汽车</w:t>
      </w:r>
      <w:r w:rsidRPr="005C3D0C">
        <w:rPr>
          <w:b/>
        </w:rPr>
        <w:t>20城22家新店将同步开业</w:t>
      </w:r>
    </w:p>
    <w:p w14:paraId="04E4D131" w14:textId="63B4A7BB" w:rsidR="00610396" w:rsidRPr="00BD1540" w:rsidRDefault="00610396" w:rsidP="008B1AEE">
      <w:r w:rsidRPr="00EB7207">
        <w:t>2月19日，哪吒汽车在北京、天津等20座城市布局的22家直营门店，将同期开业。届时，哪吒汽车直营店将100%的覆盖全国各省及一线、新一线、二线城市。</w:t>
      </w:r>
    </w:p>
    <w:p w14:paraId="5939F979" w14:textId="77777777" w:rsidR="00610396" w:rsidRPr="00DA0771" w:rsidRDefault="00610396" w:rsidP="008B1AEE">
      <w:pPr>
        <w:pStyle w:val="a8"/>
        <w:numPr>
          <w:ilvl w:val="3"/>
          <w:numId w:val="17"/>
        </w:numPr>
        <w:ind w:firstLineChars="0"/>
        <w:jc w:val="left"/>
        <w:outlineLvl w:val="1"/>
        <w:rPr>
          <w:b/>
        </w:rPr>
      </w:pPr>
      <w:r w:rsidRPr="00DA0771">
        <w:rPr>
          <w:rFonts w:hint="eastAsia"/>
          <w:b/>
        </w:rPr>
        <w:t>宁德时代</w:t>
      </w:r>
      <w:r w:rsidRPr="00DA0771">
        <w:rPr>
          <w:b/>
        </w:rPr>
        <w:t>:8万-12万车解决方案是换电</w:t>
      </w:r>
    </w:p>
    <w:p w14:paraId="20248B66" w14:textId="37E805BF" w:rsidR="00610396" w:rsidRDefault="00610396" w:rsidP="008B1AEE">
      <w:r>
        <w:t>宁德时代方面透露，截至去年底已累计布局10大生产基地，同时宁德时代计划推出新产品M3P，该产品不是磷酸锰铁锂，还含有其他金属元素，称之为磷酸盐体系的三元，成本较三元下降。</w:t>
      </w:r>
    </w:p>
    <w:p w14:paraId="0990903C" w14:textId="24938CB9" w:rsidR="00610396" w:rsidRPr="00BD1540" w:rsidRDefault="00610396" w:rsidP="008B1AEE">
      <w:r>
        <w:rPr>
          <w:rFonts w:hint="eastAsia"/>
        </w:rPr>
        <w:t>宁德时代方面表示，电动化替代较难的是</w:t>
      </w:r>
      <w:r>
        <w:t>8万-12万价位区间车型，以巧克力电池换电产品配套相应车型，可使新能源车(不含电池)首购成本低于燃油车，换电速度等于燃油车加油，解决性价比的问题；虽然新产品成本较低，但仍占据新能源车一定成本，因此其认为8万-12万元区间车型终极解决方案是巧克力换电。</w:t>
      </w:r>
    </w:p>
    <w:p w14:paraId="09FA0792" w14:textId="77777777" w:rsidR="00610396" w:rsidRPr="005C3D0C" w:rsidRDefault="00610396" w:rsidP="008B1AEE">
      <w:pPr>
        <w:pStyle w:val="a8"/>
        <w:numPr>
          <w:ilvl w:val="3"/>
          <w:numId w:val="17"/>
        </w:numPr>
        <w:ind w:firstLineChars="0"/>
        <w:jc w:val="left"/>
        <w:outlineLvl w:val="1"/>
        <w:rPr>
          <w:b/>
        </w:rPr>
      </w:pPr>
      <w:r w:rsidRPr="005C3D0C">
        <w:rPr>
          <w:rFonts w:hint="eastAsia"/>
          <w:b/>
        </w:rPr>
        <w:t>宁德时代拟</w:t>
      </w:r>
      <w:r w:rsidRPr="005C3D0C">
        <w:rPr>
          <w:b/>
        </w:rPr>
        <w:t>1.44亿元增资正极材料供应商江西升华</w:t>
      </w:r>
    </w:p>
    <w:p w14:paraId="5801213D" w14:textId="77777777" w:rsidR="00610396" w:rsidRDefault="00610396" w:rsidP="008B1AEE">
      <w:r>
        <w:t>2月16日，富临精工公告称，宁德时代拟认购子公司江西升华新增注册资本1.44亿元，以进一步加快江西升华在四川射洪的磷酸铁锂项目建设。</w:t>
      </w:r>
    </w:p>
    <w:p w14:paraId="42CA4300" w14:textId="4B8A5C3D" w:rsidR="00610396" w:rsidRPr="00BD1540" w:rsidRDefault="00610396" w:rsidP="008B1AEE">
      <w:r>
        <w:rPr>
          <w:rFonts w:hint="eastAsia"/>
        </w:rPr>
        <w:t>增资完成后，江西升华注册资本增至</w:t>
      </w:r>
      <w:r>
        <w:t>8.2亿元，宁德时代将持有江西升华20%股权，富临精工持有60%股权，长江晨道持有20%股权。企查查显示，宁德时代持有长江晨道15.868%的股权。</w:t>
      </w:r>
    </w:p>
    <w:p w14:paraId="64792DD7" w14:textId="77777777" w:rsidR="00610396" w:rsidRPr="00257DBE" w:rsidRDefault="00610396" w:rsidP="008B1AEE">
      <w:pPr>
        <w:pStyle w:val="a8"/>
        <w:numPr>
          <w:ilvl w:val="3"/>
          <w:numId w:val="17"/>
        </w:numPr>
        <w:ind w:firstLineChars="0"/>
        <w:jc w:val="left"/>
        <w:outlineLvl w:val="1"/>
        <w:rPr>
          <w:b/>
        </w:rPr>
      </w:pPr>
      <w:r w:rsidRPr="00257DBE">
        <w:rPr>
          <w:rFonts w:hint="eastAsia"/>
          <w:b/>
        </w:rPr>
        <w:t>苹果供应商参股奇瑞</w:t>
      </w:r>
      <w:r w:rsidRPr="00257DBE">
        <w:rPr>
          <w:b/>
        </w:rPr>
        <w:t>将合作开发电动车</w:t>
      </w:r>
    </w:p>
    <w:p w14:paraId="4BFB9FB0" w14:textId="777D4E1A" w:rsidR="00610396" w:rsidRDefault="00610396" w:rsidP="008B1AEE">
      <w:r>
        <w:rPr>
          <w:rFonts w:hint="eastAsia"/>
        </w:rPr>
        <w:t>苹果公司供应商立讯精密发布公告称，根据协议，立讯精密将斥资</w:t>
      </w:r>
      <w:r>
        <w:t>101亿元收购奇瑞汽车7.87%的股份、其母公司奇瑞控股集团19.88%的股份，以及子公司奇瑞新能源汽车有限公司6.24%的股份。</w:t>
      </w:r>
    </w:p>
    <w:p w14:paraId="5A939BCA" w14:textId="1601717F" w:rsidR="00610396" w:rsidRPr="00BD1540" w:rsidRDefault="00610396" w:rsidP="008B1AEE">
      <w:r>
        <w:rPr>
          <w:rFonts w:hint="eastAsia"/>
        </w:rPr>
        <w:t>作为交易的一部分，立讯精密将与奇瑞新能源汽车成立一家</w:t>
      </w:r>
      <w:r>
        <w:t>17亿元的合资企业，开发和生产电动汽车。</w:t>
      </w:r>
    </w:p>
    <w:p w14:paraId="6BCC7710" w14:textId="77777777" w:rsidR="00610396" w:rsidRPr="00937612" w:rsidRDefault="00610396" w:rsidP="008B1AEE">
      <w:pPr>
        <w:pStyle w:val="a8"/>
        <w:numPr>
          <w:ilvl w:val="3"/>
          <w:numId w:val="17"/>
        </w:numPr>
        <w:ind w:firstLineChars="0"/>
        <w:jc w:val="left"/>
        <w:outlineLvl w:val="1"/>
        <w:rPr>
          <w:b/>
        </w:rPr>
      </w:pPr>
      <w:r w:rsidRPr="00937612">
        <w:rPr>
          <w:rFonts w:hint="eastAsia"/>
          <w:b/>
        </w:rPr>
        <w:t>上汽集团今年欧洲市场销量目标超</w:t>
      </w:r>
      <w:r w:rsidRPr="00937612">
        <w:rPr>
          <w:b/>
        </w:rPr>
        <w:t>12万辆MGEH32欧洲首发</w:t>
      </w:r>
    </w:p>
    <w:p w14:paraId="792AD672" w14:textId="506BC6BD" w:rsidR="00610396" w:rsidRDefault="00610396" w:rsidP="008B1AEE">
      <w:r w:rsidRPr="00AF3613">
        <w:t>上汽集团表示，今年集团将重点布局欧洲市场，计划全年销量目标超过12万辆、网点布局超1200家。同时，基于上汽集团全新纯电架构打造的“全球车”MGEH32，今年将率先在欧洲市场首发。</w:t>
      </w:r>
    </w:p>
    <w:p w14:paraId="3785AE0A" w14:textId="77777777" w:rsidR="00610396" w:rsidRPr="00E71C7E" w:rsidRDefault="00610396" w:rsidP="008B1AEE">
      <w:pPr>
        <w:pStyle w:val="a8"/>
        <w:numPr>
          <w:ilvl w:val="3"/>
          <w:numId w:val="17"/>
        </w:numPr>
        <w:ind w:firstLineChars="0"/>
        <w:jc w:val="left"/>
        <w:outlineLvl w:val="1"/>
        <w:rPr>
          <w:b/>
        </w:rPr>
      </w:pPr>
      <w:r w:rsidRPr="00E71C7E">
        <w:rPr>
          <w:rFonts w:hint="eastAsia"/>
          <w:b/>
        </w:rPr>
        <w:t>小鹏汽车开启中国品牌出海</w:t>
      </w:r>
      <w:r w:rsidRPr="00E71C7E">
        <w:rPr>
          <w:b/>
        </w:rPr>
        <w:t>2.0模式</w:t>
      </w:r>
    </w:p>
    <w:p w14:paraId="2A3F1A6B" w14:textId="51B423F0" w:rsidR="00610396" w:rsidRPr="00BD1540" w:rsidRDefault="00610396" w:rsidP="008B1AEE">
      <w:r>
        <w:t>2月11日，小鹏汽车在欧洲的首个直营体验店在瑞典斯德哥尔摩市正式开业。小鹏汽车作为中国汽车品牌率先在欧洲市场导入“直营+授权”的新零售模式，亦是中国品牌在海外市场上的一次商业模式上的创新。</w:t>
      </w:r>
    </w:p>
    <w:p w14:paraId="51E53E9B" w14:textId="77777777" w:rsidR="00610396" w:rsidRDefault="00610396" w:rsidP="008B1AEE">
      <w:pPr>
        <w:pStyle w:val="a8"/>
        <w:numPr>
          <w:ilvl w:val="3"/>
          <w:numId w:val="17"/>
        </w:numPr>
        <w:ind w:firstLineChars="0"/>
        <w:jc w:val="left"/>
        <w:outlineLvl w:val="1"/>
      </w:pPr>
      <w:r w:rsidRPr="00257DBE">
        <w:rPr>
          <w:rFonts w:hint="eastAsia"/>
          <w:b/>
        </w:rPr>
        <w:t>小鹏投资瞻芯电子</w:t>
      </w:r>
      <w:r w:rsidRPr="00257DBE">
        <w:rPr>
          <w:b/>
        </w:rPr>
        <w:t>后者聚焦SiC功率半导体</w:t>
      </w:r>
    </w:p>
    <w:p w14:paraId="21146807" w14:textId="06D3A1E1" w:rsidR="00610396" w:rsidRPr="00BD1540" w:rsidRDefault="00610396" w:rsidP="008B1AEE">
      <w:r>
        <w:t>2月16日，上海瞻芯电子科技有限公司（简称，瞻芯电子）宣布完成由小鹏汽车独家投资的战略融资。本次融资，将继续用于瞻芯电子的市场开拓、补充研发和运营资金，并持续引入优秀人才。</w:t>
      </w:r>
    </w:p>
    <w:p w14:paraId="26E7A757" w14:textId="77777777" w:rsidR="00610396" w:rsidRPr="00E71C7E" w:rsidRDefault="00610396" w:rsidP="008B1AEE">
      <w:pPr>
        <w:pStyle w:val="a8"/>
        <w:numPr>
          <w:ilvl w:val="3"/>
          <w:numId w:val="17"/>
        </w:numPr>
        <w:ind w:firstLineChars="0"/>
        <w:jc w:val="left"/>
        <w:outlineLvl w:val="1"/>
        <w:rPr>
          <w:b/>
        </w:rPr>
      </w:pPr>
      <w:r w:rsidRPr="00E71C7E">
        <w:rPr>
          <w:b/>
        </w:rPr>
        <w:t>长城</w:t>
      </w:r>
      <w:r w:rsidRPr="00E71C7E">
        <w:rPr>
          <w:rFonts w:hint="eastAsia"/>
          <w:b/>
        </w:rPr>
        <w:t>“</w:t>
      </w:r>
      <w:r w:rsidRPr="00E71C7E">
        <w:rPr>
          <w:b/>
        </w:rPr>
        <w:t>4+4”东盟战略发布再提升国际化地位</w:t>
      </w:r>
    </w:p>
    <w:p w14:paraId="74BDF018" w14:textId="7FF5F998" w:rsidR="00610396" w:rsidRPr="00BD1540" w:rsidRDefault="00610396" w:rsidP="008B1AEE">
      <w:r>
        <w:rPr>
          <w:rFonts w:hint="eastAsia"/>
        </w:rPr>
        <w:t>以“</w:t>
      </w:r>
      <w:r>
        <w:t>FirstYearTogether”为主题长城汽车通过线上的方式，对外公布GWM品牌东盟区域超级符号，同时也重申泰国市场新能源战略以及加速东盟市场布局，进一步加快2025年全球化战略的步伐。</w:t>
      </w:r>
    </w:p>
    <w:p w14:paraId="35B0C075" w14:textId="77777777" w:rsidR="00610396" w:rsidRPr="00937612" w:rsidRDefault="00610396" w:rsidP="008B1AEE">
      <w:pPr>
        <w:pStyle w:val="a8"/>
        <w:numPr>
          <w:ilvl w:val="3"/>
          <w:numId w:val="17"/>
        </w:numPr>
        <w:ind w:firstLineChars="0"/>
        <w:jc w:val="left"/>
        <w:outlineLvl w:val="1"/>
        <w:rPr>
          <w:b/>
        </w:rPr>
      </w:pPr>
      <w:r w:rsidRPr="00937612">
        <w:rPr>
          <w:rFonts w:hint="eastAsia"/>
          <w:b/>
        </w:rPr>
        <w:t>长城汽车申请长城元宇宙商标</w:t>
      </w:r>
    </w:p>
    <w:p w14:paraId="58D4062B" w14:textId="77777777" w:rsidR="00610396" w:rsidRDefault="00610396" w:rsidP="008B1AEE">
      <w:r w:rsidRPr="00AF3613">
        <w:t>长城汽车股份有限公司申请注册“长城元宇宙”商标，国际分类涉及教育娱乐，目前商标状态为申请中。</w:t>
      </w:r>
    </w:p>
    <w:p w14:paraId="58FD8C44" w14:textId="77777777" w:rsidR="00610396" w:rsidRPr="00B522CD" w:rsidRDefault="00610396" w:rsidP="008B1AEE">
      <w:pPr>
        <w:rPr>
          <w:rFonts w:cs="宋体"/>
          <w:b/>
          <w:bCs/>
          <w:i/>
          <w:iCs/>
        </w:rPr>
      </w:pPr>
    </w:p>
    <w:p w14:paraId="1C5F06E9" w14:textId="08263831" w:rsidR="00610396" w:rsidRPr="00BD1540" w:rsidRDefault="008B1AEE" w:rsidP="00610396">
      <w:pPr>
        <w:pStyle w:val="a8"/>
        <w:numPr>
          <w:ilvl w:val="0"/>
          <w:numId w:val="4"/>
        </w:numPr>
        <w:ind w:firstLineChars="0"/>
        <w:outlineLvl w:val="0"/>
        <w:rPr>
          <w:b/>
        </w:rPr>
      </w:pPr>
      <w:r>
        <w:rPr>
          <w:rFonts w:hint="eastAsia"/>
          <w:b/>
        </w:rPr>
        <w:t>行业信息</w:t>
      </w:r>
    </w:p>
    <w:p w14:paraId="7CA32388" w14:textId="22D0C409" w:rsidR="00610396" w:rsidRPr="00BD1540" w:rsidRDefault="00BD1540" w:rsidP="00BD1540">
      <w:pPr>
        <w:jc w:val="left"/>
        <w:outlineLvl w:val="1"/>
        <w:rPr>
          <w:b/>
        </w:rPr>
      </w:pPr>
      <w:r>
        <w:rPr>
          <w:rFonts w:hint="eastAsia"/>
          <w:b/>
        </w:rPr>
        <w:t>1</w:t>
      </w:r>
      <w:r>
        <w:rPr>
          <w:b/>
        </w:rPr>
        <w:t>.</w:t>
      </w:r>
      <w:r w:rsidR="00610396" w:rsidRPr="00BD1540">
        <w:rPr>
          <w:rFonts w:hint="eastAsia"/>
          <w:b/>
        </w:rPr>
        <w:t>蜂巢能源上饶基地</w:t>
      </w:r>
      <w:r w:rsidR="00610396" w:rsidRPr="00BD1540">
        <w:rPr>
          <w:b/>
        </w:rPr>
        <w:t>20GWh动力电池项目开工</w:t>
      </w:r>
    </w:p>
    <w:p w14:paraId="53981601" w14:textId="3D51139E" w:rsidR="00610396" w:rsidRPr="00BD1540" w:rsidRDefault="00610396" w:rsidP="00610396">
      <w:r>
        <w:rPr>
          <w:rFonts w:hint="eastAsia"/>
        </w:rPr>
        <w:t>蜂巢能源上饶基地二期</w:t>
      </w:r>
      <w:r>
        <w:t>20GWh动力电池项目，在上饶市经开区正式开工建设。该项目建成后，将为上饶汽车产业的转型发挥重要作用。据了解，蜂巢能源上饶动力电池项目二期产能规划为20GWh，预计2023年下半年实现SOP。</w:t>
      </w:r>
    </w:p>
    <w:p w14:paraId="19090022" w14:textId="787861E9" w:rsidR="00610396" w:rsidRPr="00BD1540" w:rsidRDefault="00BD1540" w:rsidP="00BD1540">
      <w:pPr>
        <w:jc w:val="left"/>
        <w:outlineLvl w:val="1"/>
        <w:rPr>
          <w:b/>
        </w:rPr>
      </w:pPr>
      <w:r>
        <w:rPr>
          <w:rFonts w:hint="eastAsia"/>
          <w:b/>
        </w:rPr>
        <w:t>2</w:t>
      </w:r>
      <w:r>
        <w:rPr>
          <w:b/>
        </w:rPr>
        <w:t>.</w:t>
      </w:r>
      <w:r w:rsidR="00610396" w:rsidRPr="00BD1540">
        <w:rPr>
          <w:rFonts w:hint="eastAsia"/>
          <w:b/>
        </w:rPr>
        <w:t>捷威动力拟</w:t>
      </w:r>
      <w:r w:rsidR="00610396" w:rsidRPr="00BD1540">
        <w:rPr>
          <w:b/>
        </w:rPr>
        <w:t>100亿元在安徽滁州建20GWh电池项目</w:t>
      </w:r>
    </w:p>
    <w:p w14:paraId="0956D160" w14:textId="77777777" w:rsidR="00610396" w:rsidRDefault="00610396" w:rsidP="00610396">
      <w:r>
        <w:t>2月17日，捷威动力发布消息称，公司已与安徽滁州天长市政府签署战略合作协议。</w:t>
      </w:r>
    </w:p>
    <w:p w14:paraId="56FCB63C" w14:textId="6A6A647F" w:rsidR="00610396" w:rsidRPr="00BD1540" w:rsidRDefault="00610396" w:rsidP="00610396">
      <w:r>
        <w:rPr>
          <w:rFonts w:hint="eastAsia"/>
        </w:rPr>
        <w:t>根据协议，捷威动力拟投资约</w:t>
      </w:r>
      <w:r>
        <w:t>100亿元，规划建设年产能为20GWh的电池项目，产品类型涵盖磷酸铁锂、三元材料体系，项目计划于2023年底前投入使用。</w:t>
      </w:r>
    </w:p>
    <w:p w14:paraId="006E6FFB" w14:textId="323A3B68" w:rsidR="00610396" w:rsidRPr="00BD1540" w:rsidRDefault="00BD1540" w:rsidP="00BD1540">
      <w:pPr>
        <w:jc w:val="left"/>
        <w:outlineLvl w:val="1"/>
        <w:rPr>
          <w:b/>
        </w:rPr>
      </w:pPr>
      <w:r>
        <w:rPr>
          <w:rFonts w:hint="eastAsia"/>
          <w:b/>
        </w:rPr>
        <w:t>3</w:t>
      </w:r>
      <w:r>
        <w:rPr>
          <w:b/>
        </w:rPr>
        <w:t>.</w:t>
      </w:r>
      <w:r w:rsidR="00610396" w:rsidRPr="00BD1540">
        <w:rPr>
          <w:rFonts w:hint="eastAsia"/>
          <w:b/>
        </w:rPr>
        <w:t>百度“萝卜快跑”自动驾驶服务落地深圳</w:t>
      </w:r>
    </w:p>
    <w:p w14:paraId="22DBA8BE" w14:textId="7F05DF37" w:rsidR="00610396" w:rsidRPr="00BD1540" w:rsidRDefault="00610396" w:rsidP="00610396">
      <w:r>
        <w:t>2月17日，百度Apollo自动驾驶出行服务平台“萝卜快跑”正式落地深圳，面向市民提供自动驾驶示范应用出行服务，这标志着百度实现了对北上广深超一线城市的服务全覆盖。</w:t>
      </w:r>
    </w:p>
    <w:p w14:paraId="5FE553C8" w14:textId="332ED88A" w:rsidR="00610396" w:rsidRPr="00BD1540" w:rsidRDefault="00BD1540" w:rsidP="00BD1540">
      <w:pPr>
        <w:jc w:val="left"/>
        <w:outlineLvl w:val="1"/>
        <w:rPr>
          <w:b/>
        </w:rPr>
      </w:pPr>
      <w:r>
        <w:rPr>
          <w:rFonts w:hint="eastAsia"/>
          <w:b/>
        </w:rPr>
        <w:t>4</w:t>
      </w:r>
      <w:r>
        <w:rPr>
          <w:b/>
        </w:rPr>
        <w:t>.</w:t>
      </w:r>
      <w:r w:rsidR="00610396" w:rsidRPr="00BD1540">
        <w:rPr>
          <w:rFonts w:hint="eastAsia"/>
          <w:b/>
        </w:rPr>
        <w:t>宝马</w:t>
      </w:r>
      <w:r w:rsidR="00610396" w:rsidRPr="00BD1540">
        <w:rPr>
          <w:b/>
        </w:rPr>
        <w:t>75%合资股比正式落地合同延长至2040年</w:t>
      </w:r>
    </w:p>
    <w:p w14:paraId="5BE2F6B0" w14:textId="2735ED51" w:rsidR="00610396" w:rsidRPr="00BD1540" w:rsidRDefault="00610396" w:rsidP="00610396">
      <w:r>
        <w:rPr>
          <w:rFonts w:hint="eastAsia"/>
        </w:rPr>
        <w:t>宝马集团宣布，在中国的合资企业华晨宝马汽车有限公司（以下简称“华晨宝马”）的新合资合同正式生效。</w:t>
      </w:r>
      <w:r>
        <w:t>根据新合资合同，从2022年2月11日起,宝马集团在华晨宝马所持股份变更为75%，合作伙伴华晨中国汽车控股有限公司间接持有剩余25%股份。合同有效期有效期据此延长至2040年。</w:t>
      </w:r>
    </w:p>
    <w:p w14:paraId="69BB2BEB" w14:textId="169CD1FB" w:rsidR="00557EFF" w:rsidRPr="00BD1540" w:rsidRDefault="00BD1540" w:rsidP="00BD1540">
      <w:pPr>
        <w:outlineLvl w:val="1"/>
        <w:rPr>
          <w:b/>
        </w:rPr>
      </w:pPr>
      <w:r>
        <w:rPr>
          <w:rFonts w:hint="eastAsia"/>
          <w:b/>
        </w:rPr>
        <w:t>5</w:t>
      </w:r>
      <w:r>
        <w:rPr>
          <w:b/>
        </w:rPr>
        <w:t>.</w:t>
      </w:r>
      <w:r w:rsidR="00557EFF" w:rsidRPr="00BD1540">
        <w:rPr>
          <w:rFonts w:hint="eastAsia"/>
          <w:b/>
        </w:rPr>
        <w:t>北京市高级别自动驾驶示范区将驶向</w:t>
      </w:r>
      <w:r w:rsidR="00557EFF" w:rsidRPr="00BD1540">
        <w:rPr>
          <w:b/>
        </w:rPr>
        <w:t>3.0</w:t>
      </w:r>
    </w:p>
    <w:p w14:paraId="6AEF1DCC" w14:textId="1930545E" w:rsidR="00557EFF" w:rsidRPr="00BD1540" w:rsidRDefault="00557EFF" w:rsidP="008B1AEE">
      <w:r>
        <w:rPr>
          <w:rFonts w:hint="eastAsia"/>
        </w:rPr>
        <w:t>在</w:t>
      </w:r>
      <w:r>
        <w:t>2022北京新闻中心举行的北京全球数字经济标杆城市建设专场新闻发布会上，北京市高级别自动驾驶示范区工作办公室常务副主任捷菲表示，北京市高级别自动驾驶示范区今年将开启3.0阶段建设。</w:t>
      </w:r>
    </w:p>
    <w:p w14:paraId="72570AF9" w14:textId="0AFA0EF9" w:rsidR="00557EFF" w:rsidRPr="00BD1540" w:rsidRDefault="00BD1540" w:rsidP="00BD1540">
      <w:pPr>
        <w:outlineLvl w:val="1"/>
        <w:rPr>
          <w:b/>
        </w:rPr>
      </w:pPr>
      <w:r>
        <w:rPr>
          <w:rFonts w:hint="eastAsia"/>
          <w:b/>
        </w:rPr>
        <w:t>6</w:t>
      </w:r>
      <w:r>
        <w:rPr>
          <w:b/>
        </w:rPr>
        <w:t>.</w:t>
      </w:r>
      <w:r w:rsidR="00557EFF" w:rsidRPr="00BD1540">
        <w:rPr>
          <w:rFonts w:hint="eastAsia"/>
          <w:b/>
        </w:rPr>
        <w:t>电池级碳酸锂价格达</w:t>
      </w:r>
      <w:r w:rsidR="00557EFF" w:rsidRPr="00BD1540">
        <w:rPr>
          <w:b/>
        </w:rPr>
        <w:t>40万元/吨</w:t>
      </w:r>
    </w:p>
    <w:p w14:paraId="741FC277" w14:textId="361D2074" w:rsidR="00557EFF" w:rsidRPr="00BD1540" w:rsidRDefault="00557EFF" w:rsidP="008B1AEE">
      <w:r w:rsidRPr="00FD7BB7">
        <w:rPr>
          <w:rFonts w:hint="eastAsia"/>
        </w:rPr>
        <w:t>，</w:t>
      </w:r>
      <w:r w:rsidRPr="00FD7BB7">
        <w:t>2月14日，国产电池级碳酸锂价格区间为40.0-40.4万元/吨，均价为40.2万元/吨，较前一交易日上涨1.0万元/吨。</w:t>
      </w:r>
    </w:p>
    <w:p w14:paraId="1EC917EF" w14:textId="0627D353" w:rsidR="00557EFF" w:rsidRPr="00BD1540" w:rsidRDefault="00BD1540" w:rsidP="00BD1540">
      <w:pPr>
        <w:outlineLvl w:val="1"/>
        <w:rPr>
          <w:b/>
        </w:rPr>
      </w:pPr>
      <w:r>
        <w:rPr>
          <w:rFonts w:hint="eastAsia"/>
          <w:b/>
        </w:rPr>
        <w:t>7</w:t>
      </w:r>
      <w:r>
        <w:rPr>
          <w:b/>
        </w:rPr>
        <w:t>.</w:t>
      </w:r>
      <w:r w:rsidR="00557EFF" w:rsidRPr="00BD1540">
        <w:rPr>
          <w:rFonts w:hint="eastAsia"/>
          <w:b/>
        </w:rPr>
        <w:t>济南电动重卡智能充换电站正式运营</w:t>
      </w:r>
    </w:p>
    <w:p w14:paraId="79FAA0F8" w14:textId="7B71BB1D" w:rsidR="00557EFF" w:rsidRDefault="00557EFF" w:rsidP="008B1AEE">
      <w:r>
        <w:rPr>
          <w:rFonts w:hint="eastAsia"/>
        </w:rPr>
        <w:t>去年</w:t>
      </w:r>
      <w:r>
        <w:t>12月，国家电投山东分公司首个投资运营的充换电站——济南电动重卡智能充换电站正式投入运营，该换电站采用“电车分离+智能平台”的作业模式，可实现“5分钟轻松换电”的阶段性目标，</w:t>
      </w:r>
    </w:p>
    <w:p w14:paraId="1C021C88" w14:textId="40E2D425" w:rsidR="00557EFF" w:rsidRPr="00BD1540" w:rsidRDefault="00557EFF" w:rsidP="008B1AEE">
      <w:r>
        <w:rPr>
          <w:rFonts w:hint="eastAsia"/>
        </w:rPr>
        <w:t>据了解，换电站通过快速吊装换电，相较于柴油重卡，每天每车可节约运营成本</w:t>
      </w:r>
      <w:r>
        <w:t>100多元，一年节约运营成本近4万元，每1000辆换电重卡每年可减少14万吨二氧化碳和1.25万吨污染物排放，为区域节能减排、大气污染防治及绿色交通体系构建输入强大动力。</w:t>
      </w:r>
    </w:p>
    <w:p w14:paraId="5063F152" w14:textId="15B5B6AF" w:rsidR="00557EFF" w:rsidRDefault="00BD1540" w:rsidP="00BD1540">
      <w:pPr>
        <w:outlineLvl w:val="1"/>
      </w:pPr>
      <w:r>
        <w:rPr>
          <w:rFonts w:hint="eastAsia"/>
          <w:b/>
        </w:rPr>
        <w:t>8</w:t>
      </w:r>
      <w:r>
        <w:rPr>
          <w:b/>
        </w:rPr>
        <w:t>.</w:t>
      </w:r>
      <w:r w:rsidR="00557EFF" w:rsidRPr="00BD1540">
        <w:rPr>
          <w:rFonts w:hint="eastAsia"/>
          <w:b/>
        </w:rPr>
        <w:t>中消协点名“新能源汽车春节高速充电难”等问题</w:t>
      </w:r>
    </w:p>
    <w:p w14:paraId="636B1E4E" w14:textId="77777777" w:rsidR="00557EFF" w:rsidRDefault="00557EFF" w:rsidP="008B1AEE">
      <w:r>
        <w:rPr>
          <w:rFonts w:hint="eastAsia"/>
        </w:rPr>
        <w:t>据中消协报告，监测期内，共收集“交通出行”类负面信息</w:t>
      </w:r>
      <w:r>
        <w:t>278137条，日均34767条左右。其中，新能源车高速充电难问题再一次引发假期消费吐槽，车企客服表示目前没有解决方案成为消费痛点。其中，特斯拉客服“耿直”回应称，暂无其他解决方案。理想客服称跑长途可以用油电混合模式增加续航。蔚来客服则表示有多种补能方式，部分高速服务区配有蔚来移动充电车解决排队情况。</w:t>
      </w:r>
    </w:p>
    <w:p w14:paraId="1F76889B" w14:textId="0D44AD5A" w:rsidR="00557EFF" w:rsidRDefault="00557EFF" w:rsidP="008B1AEE">
      <w:pPr>
        <w:rPr>
          <w:rFonts w:cs="宋体"/>
          <w:b/>
          <w:bCs/>
          <w:i/>
          <w:iCs/>
        </w:rPr>
      </w:pPr>
    </w:p>
    <w:p w14:paraId="17B12103" w14:textId="77777777" w:rsidR="008B1AEE" w:rsidRPr="00CC5738" w:rsidRDefault="008B1AEE" w:rsidP="008B1AEE">
      <w:pPr>
        <w:pStyle w:val="a8"/>
        <w:numPr>
          <w:ilvl w:val="0"/>
          <w:numId w:val="4"/>
        </w:numPr>
        <w:ind w:firstLineChars="0"/>
        <w:outlineLvl w:val="0"/>
        <w:rPr>
          <w:b/>
        </w:rPr>
      </w:pPr>
      <w:r w:rsidRPr="002009FE">
        <w:rPr>
          <w:rFonts w:cs="宋体" w:hint="eastAsia"/>
          <w:b/>
          <w:bCs/>
        </w:rPr>
        <w:t>跨国集团和国际市场</w:t>
      </w:r>
    </w:p>
    <w:p w14:paraId="26FCA509" w14:textId="77777777" w:rsidR="00557EFF" w:rsidRPr="00DE001F" w:rsidRDefault="00557EFF" w:rsidP="008B1AEE">
      <w:pPr>
        <w:pStyle w:val="a8"/>
        <w:numPr>
          <w:ilvl w:val="0"/>
          <w:numId w:val="21"/>
        </w:numPr>
        <w:ind w:firstLineChars="0"/>
        <w:outlineLvl w:val="1"/>
        <w:rPr>
          <w:b/>
        </w:rPr>
      </w:pPr>
      <w:r w:rsidRPr="00DE001F">
        <w:rPr>
          <w:b/>
        </w:rPr>
        <w:t>LG化学计划到2030年将电池材料业务营收提升12倍至176亿美元</w:t>
      </w:r>
    </w:p>
    <w:p w14:paraId="43346ECF" w14:textId="772E183C" w:rsidR="00557EFF" w:rsidRPr="00BD1540" w:rsidRDefault="00557EFF" w:rsidP="008B1AEE">
      <w:r w:rsidRPr="00FD7BB7">
        <w:t>LG化学发布消息称，公司将以正极材料、隔膜等产品为核心，到2030年，将电池材料业务的销售额提升至21万亿韩元（约176亿美元），实现12倍以上的增长。</w:t>
      </w:r>
    </w:p>
    <w:p w14:paraId="4D8BC753" w14:textId="77777777" w:rsidR="00557EFF" w:rsidRPr="0037614E" w:rsidRDefault="00557EFF" w:rsidP="008B1AEE">
      <w:pPr>
        <w:pStyle w:val="a8"/>
        <w:numPr>
          <w:ilvl w:val="0"/>
          <w:numId w:val="21"/>
        </w:numPr>
        <w:ind w:firstLineChars="0"/>
        <w:outlineLvl w:val="1"/>
        <w:rPr>
          <w:b/>
        </w:rPr>
      </w:pPr>
      <w:r w:rsidRPr="0037614E">
        <w:rPr>
          <w:b/>
        </w:rPr>
        <w:t>Mobileye2024年在美国推自动驾驶摆渡车</w:t>
      </w:r>
    </w:p>
    <w:p w14:paraId="450781BC" w14:textId="3E64ACA2" w:rsidR="00557EFF" w:rsidRPr="00BD1540" w:rsidRDefault="00557EFF" w:rsidP="008B1AEE">
      <w:r w:rsidRPr="00FD7BB7">
        <w:t>英特尔旗下AI芯片公司Mobileye与BentelerEVSystems、Beep共同宣布，三方达成战略合作，计划于2024年在北美部署纯电动自动驾驶摆渡车。</w:t>
      </w:r>
    </w:p>
    <w:p w14:paraId="4C08DFB0" w14:textId="77777777" w:rsidR="00557EFF" w:rsidRPr="005C3D0C" w:rsidRDefault="00557EFF" w:rsidP="008B1AEE">
      <w:pPr>
        <w:pStyle w:val="a8"/>
        <w:numPr>
          <w:ilvl w:val="0"/>
          <w:numId w:val="21"/>
        </w:numPr>
        <w:ind w:firstLineChars="0"/>
        <w:outlineLvl w:val="1"/>
        <w:rPr>
          <w:b/>
        </w:rPr>
      </w:pPr>
      <w:r w:rsidRPr="005C3D0C">
        <w:rPr>
          <w:b/>
        </w:rPr>
        <w:t>RedwoodMaterials将在加州回收废旧电池</w:t>
      </w:r>
    </w:p>
    <w:p w14:paraId="0B7A4D57" w14:textId="77777777" w:rsidR="00557EFF" w:rsidRDefault="00557EFF" w:rsidP="008B1AEE">
      <w:r>
        <w:t>RedwoodMaterials宣布，将在美国加州开展回收混动汽车和纯电动汽车废旧电池的服务。</w:t>
      </w:r>
    </w:p>
    <w:p w14:paraId="05EF99F6" w14:textId="373F9FFD" w:rsidR="00557EFF" w:rsidRPr="00BD1540" w:rsidRDefault="00557EFF" w:rsidP="008B1AEE">
      <w:r>
        <w:rPr>
          <w:rFonts w:hint="eastAsia"/>
        </w:rPr>
        <w:t>这一服务将免费提供给加州的废旧电池供应商和个人拆卸者，电池回收费用和运费将由</w:t>
      </w:r>
      <w:r>
        <w:t>RedwoodMaterials与合作伙伴沃尔沃、福特共同承担。</w:t>
      </w:r>
    </w:p>
    <w:p w14:paraId="53F22072" w14:textId="77777777" w:rsidR="00557EFF" w:rsidRPr="005C3D0C" w:rsidRDefault="00557EFF" w:rsidP="008B1AEE">
      <w:pPr>
        <w:pStyle w:val="a8"/>
        <w:numPr>
          <w:ilvl w:val="0"/>
          <w:numId w:val="21"/>
        </w:numPr>
        <w:ind w:firstLineChars="0"/>
        <w:outlineLvl w:val="1"/>
        <w:rPr>
          <w:b/>
        </w:rPr>
      </w:pPr>
      <w:r w:rsidRPr="005C3D0C">
        <w:rPr>
          <w:b/>
        </w:rPr>
        <w:t>Waymo与C.H.Robinson在得州测试自动驾驶卡车</w:t>
      </w:r>
    </w:p>
    <w:p w14:paraId="753EF356" w14:textId="1EE97E49" w:rsidR="00557EFF" w:rsidRPr="00BD1540" w:rsidRDefault="00557EFF" w:rsidP="008B1AEE">
      <w:r w:rsidRPr="00EB7207">
        <w:t>谷歌母公司Alphabet旗下自动驾驶公司Waymo宣布，与美国物流巨头C.H.Robinson达成合作，将在美国得克萨斯州达拉斯、FortWorth和休斯敦之间的240英里路段上进行自动驾驶卡车运输试运营，测试车辆将配备安全员。</w:t>
      </w:r>
    </w:p>
    <w:p w14:paraId="0B0A2A39" w14:textId="77777777" w:rsidR="00557EFF" w:rsidRPr="005C3D0C" w:rsidRDefault="00557EFF" w:rsidP="008B1AEE">
      <w:pPr>
        <w:pStyle w:val="a8"/>
        <w:numPr>
          <w:ilvl w:val="0"/>
          <w:numId w:val="21"/>
        </w:numPr>
        <w:ind w:firstLineChars="0"/>
        <w:outlineLvl w:val="1"/>
        <w:rPr>
          <w:b/>
        </w:rPr>
      </w:pPr>
      <w:r w:rsidRPr="005C3D0C">
        <w:rPr>
          <w:rFonts w:hint="eastAsia"/>
          <w:b/>
        </w:rPr>
        <w:t>大众</w:t>
      </w:r>
      <w:r w:rsidRPr="005C3D0C">
        <w:rPr>
          <w:b/>
        </w:rPr>
        <w:t>CEO：二十五年后所有汽车将具备自动驾驶能力</w:t>
      </w:r>
    </w:p>
    <w:p w14:paraId="1C60CCB6" w14:textId="7E9E7408" w:rsidR="00557EFF" w:rsidRPr="00BD1540" w:rsidRDefault="00557EFF" w:rsidP="008B1AEE">
      <w:r w:rsidRPr="00EB7207">
        <w:t>大众汽车集团CEO赫伯特-迪斯首次在美国网站reddit上回答网友提问。当被问及对二十五年后汽车行业的展望时，迪斯表示，预计届时所有的汽车都将具备自动驾驶能力，汽车将会非常安全，很可能不再有交通事故。</w:t>
      </w:r>
    </w:p>
    <w:p w14:paraId="489A2F38" w14:textId="77777777" w:rsidR="00557EFF" w:rsidRPr="000A4B8D" w:rsidRDefault="00557EFF" w:rsidP="008B1AEE">
      <w:pPr>
        <w:pStyle w:val="a8"/>
        <w:numPr>
          <w:ilvl w:val="0"/>
          <w:numId w:val="21"/>
        </w:numPr>
        <w:ind w:firstLineChars="0"/>
        <w:outlineLvl w:val="1"/>
        <w:rPr>
          <w:b/>
        </w:rPr>
      </w:pPr>
      <w:r w:rsidRPr="000A4B8D">
        <w:rPr>
          <w:rFonts w:hint="eastAsia"/>
          <w:b/>
        </w:rPr>
        <w:t>大众将提升产量并确定新电动汽车工厂地址</w:t>
      </w:r>
    </w:p>
    <w:p w14:paraId="5E124DA9" w14:textId="77777777" w:rsidR="00557EFF" w:rsidRDefault="00557EFF" w:rsidP="008B1AEE">
      <w:r>
        <w:rPr>
          <w:rFonts w:hint="eastAsia"/>
        </w:rPr>
        <w:t>大众可能会在</w:t>
      </w:r>
      <w:r>
        <w:t>3月底之前决定在哪里建设新的电动汽车工厂，该集团还计划在2022年下半年内提高整体产量，尽管他们预计今年芯片短缺的情况将持续下去。</w:t>
      </w:r>
    </w:p>
    <w:p w14:paraId="76498CE9" w14:textId="1FD65BFB" w:rsidR="00557EFF" w:rsidRPr="00BD1540" w:rsidRDefault="00557EFF" w:rsidP="008B1AEE">
      <w:r>
        <w:rPr>
          <w:rFonts w:hint="eastAsia"/>
        </w:rPr>
        <w:t>大众曾在去年表示，他们将在其位于德国沃尔夫斯堡（</w:t>
      </w:r>
      <w:r>
        <w:t>Wolfsburg）的总部附近建一座全新的先进汽车工厂，以此来对抗特斯拉，后者位于柏林附近的电动汽车工厂即将投产。</w:t>
      </w:r>
    </w:p>
    <w:p w14:paraId="7EAFD022" w14:textId="77777777" w:rsidR="00557EFF" w:rsidRPr="00DA0771" w:rsidRDefault="00557EFF" w:rsidP="008B1AEE">
      <w:pPr>
        <w:pStyle w:val="a8"/>
        <w:numPr>
          <w:ilvl w:val="0"/>
          <w:numId w:val="21"/>
        </w:numPr>
        <w:ind w:firstLineChars="0"/>
        <w:outlineLvl w:val="1"/>
        <w:rPr>
          <w:b/>
        </w:rPr>
      </w:pPr>
      <w:r w:rsidRPr="00DA0771">
        <w:rPr>
          <w:rFonts w:hint="eastAsia"/>
          <w:b/>
        </w:rPr>
        <w:t>到</w:t>
      </w:r>
      <w:r w:rsidRPr="00DA0771">
        <w:rPr>
          <w:b/>
        </w:rPr>
        <w:t>2026年全球用于充电的支出将超160亿美元</w:t>
      </w:r>
    </w:p>
    <w:p w14:paraId="39D0B48B" w14:textId="77777777" w:rsidR="00557EFF" w:rsidRDefault="00557EFF" w:rsidP="008B1AEE">
      <w:r>
        <w:t>JuniperResearch的一项新研究发现，到2026年，全球用于电动汽车充电的支出将超过160亿美元，高于2021年的34亿美元。未来5年，这一超过390%的快速增长是由电动汽车家庭充电的低成本和便利性驱动，而不是公共充电网络。</w:t>
      </w:r>
    </w:p>
    <w:p w14:paraId="3B10C8BE" w14:textId="4E4EFAA0" w:rsidR="00557EFF" w:rsidRPr="00BD1540" w:rsidRDefault="00557EFF" w:rsidP="008B1AEE">
      <w:r>
        <w:rPr>
          <w:rFonts w:hint="eastAsia"/>
        </w:rPr>
        <w:t>这项名为《电动汽车充电</w:t>
      </w:r>
      <w:r>
        <w:t>:2021-2026年的关键机遇、挑战和市场预测》的新研究发现，到2026年，全球将有超过2100万个家用壁挂式充电桩，而2021年只有200万个。这反映出，尽管公共充电网络在接入方面增长迅速，但在未来5年，家用壁挂式充电将经历非常强劲的增长。</w:t>
      </w:r>
    </w:p>
    <w:p w14:paraId="0DF200B6" w14:textId="77777777" w:rsidR="00557EFF" w:rsidRPr="006B695A" w:rsidRDefault="00557EFF" w:rsidP="008B1AEE">
      <w:pPr>
        <w:pStyle w:val="a8"/>
        <w:numPr>
          <w:ilvl w:val="0"/>
          <w:numId w:val="21"/>
        </w:numPr>
        <w:ind w:firstLineChars="0"/>
        <w:outlineLvl w:val="1"/>
        <w:rPr>
          <w:b/>
        </w:rPr>
      </w:pPr>
      <w:r w:rsidRPr="006B695A">
        <w:rPr>
          <w:rFonts w:hint="eastAsia"/>
          <w:b/>
        </w:rPr>
        <w:t>电装将为台积电日本芯片厂投资</w:t>
      </w:r>
      <w:r w:rsidRPr="006B695A">
        <w:rPr>
          <w:b/>
        </w:rPr>
        <w:t>3.5亿美元</w:t>
      </w:r>
    </w:p>
    <w:p w14:paraId="045EF0DE" w14:textId="46F1B46D" w:rsidR="00557EFF" w:rsidRDefault="00557EFF" w:rsidP="008B1AEE">
      <w:r w:rsidRPr="00071CC1">
        <w:t>台积电宣布，将额外为其日本首家芯片工厂的投资16亿美元。汽车零部件制造商电装和索尼集团也将加入该项目。电装将为该工厂投资3.5亿美元，并获得逾10%的股权。</w:t>
      </w:r>
    </w:p>
    <w:p w14:paraId="494B39BB" w14:textId="77777777" w:rsidR="00557EFF" w:rsidRPr="00AD71C5" w:rsidRDefault="00557EFF" w:rsidP="008B1AEE">
      <w:pPr>
        <w:pStyle w:val="a8"/>
        <w:numPr>
          <w:ilvl w:val="0"/>
          <w:numId w:val="21"/>
        </w:numPr>
        <w:ind w:firstLineChars="0"/>
        <w:outlineLvl w:val="1"/>
        <w:rPr>
          <w:b/>
        </w:rPr>
      </w:pPr>
      <w:r w:rsidRPr="00AD71C5">
        <w:rPr>
          <w:rFonts w:hint="eastAsia"/>
          <w:b/>
        </w:rPr>
        <w:t>丰田公布</w:t>
      </w:r>
      <w:r w:rsidRPr="00AD71C5">
        <w:rPr>
          <w:b/>
        </w:rPr>
        <w:t>3月生产计划</w:t>
      </w:r>
    </w:p>
    <w:p w14:paraId="65F2A6E7" w14:textId="77777777" w:rsidR="00557EFF" w:rsidRDefault="00557EFF" w:rsidP="008B1AEE">
      <w:r>
        <w:t>丰田汽车公布了2022年3月的生产计划，其计划在全球生产约95万辆新车。</w:t>
      </w:r>
    </w:p>
    <w:p w14:paraId="156BA3E1" w14:textId="41A38D71" w:rsidR="00557EFF" w:rsidRDefault="00557EFF" w:rsidP="008B1AEE">
      <w:r>
        <w:rPr>
          <w:rFonts w:hint="eastAsia"/>
        </w:rPr>
        <w:t>信息显示，丰田原计划考虑过增加产能以抵消此前减产带来的影响，不过由于芯片短缺的影响，全球生产计划在调整</w:t>
      </w:r>
      <w:r>
        <w:t>10万辆后，最终确认为95万辆。作为参考，之前单月生产纪录为2012年3月的87万辆。同时，截至2022年3月的财年预计产量，目前调整为850万辆。</w:t>
      </w:r>
    </w:p>
    <w:p w14:paraId="5D7AA489" w14:textId="77777777" w:rsidR="00557EFF" w:rsidRPr="00DA0771" w:rsidRDefault="00557EFF" w:rsidP="008B1AEE">
      <w:pPr>
        <w:pStyle w:val="a8"/>
        <w:numPr>
          <w:ilvl w:val="0"/>
          <w:numId w:val="21"/>
        </w:numPr>
        <w:ind w:firstLineChars="0"/>
        <w:outlineLvl w:val="1"/>
        <w:rPr>
          <w:b/>
        </w:rPr>
      </w:pPr>
      <w:r w:rsidRPr="00DA0771">
        <w:rPr>
          <w:rFonts w:hint="eastAsia"/>
          <w:b/>
        </w:rPr>
        <w:t>福特、沃尔沃加入</w:t>
      </w:r>
      <w:r w:rsidRPr="00DA0771">
        <w:rPr>
          <w:b/>
        </w:rPr>
        <w:t>Redwood电池回收计划</w:t>
      </w:r>
    </w:p>
    <w:p w14:paraId="397057AB" w14:textId="3A760BB5" w:rsidR="00557EFF" w:rsidRPr="00BD1540" w:rsidRDefault="00557EFF" w:rsidP="008B1AEE">
      <w:r w:rsidRPr="003503E1">
        <w:rPr>
          <w:rFonts w:hint="eastAsia"/>
        </w:rPr>
        <w:t>前特斯拉</w:t>
      </w:r>
      <w:r w:rsidRPr="003503E1">
        <w:t>CTO创建的Redwood公司正在启动最全面的电动汽车电池回收计划。该计划从加州开始，为报废的混合动力和电动汽车电池组建立高效、安全、有效的回收途径。福特汽车公司和沃尔沃汽车公司是第一批直接支持该计划的汽车制造商。</w:t>
      </w:r>
    </w:p>
    <w:p w14:paraId="25E014F6" w14:textId="77777777" w:rsidR="00557EFF" w:rsidRPr="005C3D0C" w:rsidRDefault="00557EFF" w:rsidP="008B1AEE">
      <w:pPr>
        <w:pStyle w:val="a8"/>
        <w:numPr>
          <w:ilvl w:val="0"/>
          <w:numId w:val="21"/>
        </w:numPr>
        <w:ind w:firstLineChars="0"/>
        <w:outlineLvl w:val="1"/>
        <w:rPr>
          <w:b/>
        </w:rPr>
      </w:pPr>
      <w:r w:rsidRPr="005C3D0C">
        <w:rPr>
          <w:rFonts w:hint="eastAsia"/>
          <w:b/>
        </w:rPr>
        <w:t>吉利投资的</w:t>
      </w:r>
      <w:r w:rsidRPr="005C3D0C">
        <w:rPr>
          <w:b/>
        </w:rPr>
        <w:t>Volocopter拟2024年在新加坡推出飞行出租车</w:t>
      </w:r>
    </w:p>
    <w:p w14:paraId="2090F30B" w14:textId="77777777" w:rsidR="00557EFF" w:rsidRDefault="00557EFF" w:rsidP="008B1AEE">
      <w:r>
        <w:t>Volocopter计划两年内在新加坡提供电动飞行出租车服务。</w:t>
      </w:r>
    </w:p>
    <w:p w14:paraId="72AFD467" w14:textId="5DABE88F" w:rsidR="00557EFF" w:rsidRPr="00BD1540" w:rsidRDefault="00557EFF" w:rsidP="008B1AEE">
      <w:r>
        <w:t>Volocopter首席商务官ChristianBauer表示，Volocopter是新加坡首批eVTOL（电动垂直起降飞行器）合作伙伴之一。公司计划在新加坡热门旅游目的地周围运营一支由10至20辆空中出租车组成的车队。</w:t>
      </w:r>
    </w:p>
    <w:p w14:paraId="5E746588" w14:textId="77777777" w:rsidR="00557EFF" w:rsidRPr="00B522CD" w:rsidRDefault="00557EFF" w:rsidP="008B1AEE">
      <w:pPr>
        <w:pStyle w:val="a8"/>
        <w:numPr>
          <w:ilvl w:val="0"/>
          <w:numId w:val="21"/>
        </w:numPr>
        <w:ind w:firstLineChars="0"/>
        <w:outlineLvl w:val="1"/>
        <w:rPr>
          <w:b/>
        </w:rPr>
      </w:pPr>
      <w:r w:rsidRPr="00B522CD">
        <w:rPr>
          <w:rFonts w:hint="eastAsia"/>
          <w:b/>
        </w:rPr>
        <w:t>康明斯推出适用多种燃料的动力总成解决方案</w:t>
      </w:r>
    </w:p>
    <w:p w14:paraId="326804D3" w14:textId="77777777" w:rsidR="00557EFF" w:rsidRDefault="00557EFF" w:rsidP="008B1AEE">
      <w:r>
        <w:rPr>
          <w:rFonts w:hint="eastAsia"/>
        </w:rPr>
        <w:t>康明斯公司宣布进一步扩展其行业领先的动力总成平台，实现多种低碳燃料通用。作为业界率先推出的适用于多种燃料的发动机，这些平台会使用基于通用架构的缸体和核心零部件，并将针对不同的低碳燃料类型进行优化。</w:t>
      </w:r>
    </w:p>
    <w:p w14:paraId="6B103979" w14:textId="27058C91" w:rsidR="00557EFF" w:rsidRPr="00BD1540" w:rsidRDefault="00557EFF" w:rsidP="008B1AEE">
      <w:r>
        <w:rPr>
          <w:rFonts w:hint="eastAsia"/>
        </w:rPr>
        <w:t>新平台新产品的推出是康明斯零碳战略的重要组成部分。该战略致力于进一步减少公司产品的温室气体</w:t>
      </w:r>
      <w:r>
        <w:t>(GHG)排放，并降低对空气质量的影响。根据计划，康明斯将在2050年实现净零排放，以可持续方式为所有利益相关者服务。为实现承诺，康明斯不断创新，为用户提供最适合的多元动力动力解决方案。</w:t>
      </w:r>
    </w:p>
    <w:p w14:paraId="6879D356" w14:textId="77777777" w:rsidR="00557EFF" w:rsidRPr="000A4B8D" w:rsidRDefault="00557EFF" w:rsidP="008B1AEE">
      <w:pPr>
        <w:pStyle w:val="a8"/>
        <w:numPr>
          <w:ilvl w:val="0"/>
          <w:numId w:val="21"/>
        </w:numPr>
        <w:ind w:firstLineChars="0"/>
        <w:outlineLvl w:val="1"/>
        <w:rPr>
          <w:b/>
        </w:rPr>
      </w:pPr>
      <w:r w:rsidRPr="000A4B8D">
        <w:rPr>
          <w:rFonts w:hint="eastAsia"/>
          <w:b/>
        </w:rPr>
        <w:t>美国</w:t>
      </w:r>
      <w:r w:rsidRPr="000A4B8D">
        <w:rPr>
          <w:b/>
        </w:rPr>
        <w:t>29.1亿美元加注电池产业</w:t>
      </w:r>
    </w:p>
    <w:p w14:paraId="24AD782A" w14:textId="77777777" w:rsidR="00557EFF" w:rsidRDefault="00557EFF" w:rsidP="008B1AEE">
      <w:r>
        <w:t>2月14日，美国能源部（DOE）发布了两份意向通知，表示接下来将提供总额约为29.1亿美元的资金，支持先进电池的相关生产。按照美国的相关规划，这些电池将关乎电动汽车和储能等清洁能源行业的未来发展。</w:t>
      </w:r>
    </w:p>
    <w:p w14:paraId="2B3D7D10" w14:textId="1AEE6F9E" w:rsidR="00557EFF" w:rsidRDefault="00557EFF" w:rsidP="008B1AEE">
      <w:r>
        <w:rPr>
          <w:rFonts w:hint="eastAsia"/>
        </w:rPr>
        <w:t>在全球碳中和的发展趋势下，美国此前提出了“</w:t>
      </w:r>
      <w:r>
        <w:t>3550”的碳中和目标。同时，美国总统拜登在气候领域做出新的承诺，表示到2035年，通过向可再生能源过渡实现无碳发电；到2050年，让美国实现碳中和。基于此，美国政府将实施一系列调整措施，以实现彻底改变。</w:t>
      </w:r>
    </w:p>
    <w:p w14:paraId="70F38E59" w14:textId="77777777" w:rsidR="00557EFF" w:rsidRPr="00AD71C5" w:rsidRDefault="00557EFF" w:rsidP="008B1AEE">
      <w:pPr>
        <w:pStyle w:val="a8"/>
        <w:numPr>
          <w:ilvl w:val="0"/>
          <w:numId w:val="21"/>
        </w:numPr>
        <w:ind w:firstLineChars="0"/>
        <w:outlineLvl w:val="1"/>
        <w:rPr>
          <w:b/>
        </w:rPr>
      </w:pPr>
      <w:r w:rsidRPr="00AD71C5">
        <w:rPr>
          <w:rFonts w:hint="eastAsia"/>
          <w:b/>
        </w:rPr>
        <w:t>美国政府计划拨款</w:t>
      </w:r>
      <w:r w:rsidRPr="00AD71C5">
        <w:rPr>
          <w:b/>
        </w:rPr>
        <w:t>50亿美元建造充电站</w:t>
      </w:r>
    </w:p>
    <w:p w14:paraId="4AA8EDBC" w14:textId="77777777" w:rsidR="00557EFF" w:rsidRDefault="00557EFF" w:rsidP="008B1AEE">
      <w:r>
        <w:rPr>
          <w:rFonts w:hint="eastAsia"/>
        </w:rPr>
        <w:t>美国政府公布了一项计划，将在五年内拨款近</w:t>
      </w:r>
      <w:r>
        <w:t>50亿美元建造数千座电动汽车充电站。</w:t>
      </w:r>
    </w:p>
    <w:p w14:paraId="4DB51372" w14:textId="77777777" w:rsidR="00557EFF" w:rsidRDefault="00557EFF" w:rsidP="008B1AEE">
      <w:r>
        <w:rPr>
          <w:rFonts w:hint="eastAsia"/>
        </w:rPr>
        <w:t>去年</w:t>
      </w:r>
      <w:r>
        <w:t>11月，国会批准了政府向各州提供资金，以此作为1万亿美元基础设施法案的一部分。美国政府将在2022年先拨款6.15亿美元，但各州必须首先提交资金使用计划并获得联邦政府的批准。</w:t>
      </w:r>
    </w:p>
    <w:p w14:paraId="483B4F69" w14:textId="483CCB2D" w:rsidR="00557EFF" w:rsidRDefault="00557EFF" w:rsidP="008B1AEE">
      <w:r>
        <w:rPr>
          <w:rFonts w:hint="eastAsia"/>
        </w:rPr>
        <w:t>美国政府希望，到</w:t>
      </w:r>
      <w:r>
        <w:t>2030年，所有售出的新车中有50%是电动或插电式混合动力汽车，并新增50万个电动汽车充电站。为此，美国政府在指导意见中表示，美国各州应该优先在州际公路沿线投资。</w:t>
      </w:r>
    </w:p>
    <w:p w14:paraId="26624FA7" w14:textId="77777777" w:rsidR="00557EFF" w:rsidRPr="003340E2" w:rsidRDefault="00557EFF" w:rsidP="008B1AEE">
      <w:pPr>
        <w:pStyle w:val="a8"/>
        <w:numPr>
          <w:ilvl w:val="0"/>
          <w:numId w:val="21"/>
        </w:numPr>
        <w:ind w:firstLineChars="0"/>
        <w:outlineLvl w:val="1"/>
        <w:rPr>
          <w:b/>
        </w:rPr>
      </w:pPr>
      <w:r w:rsidRPr="003340E2">
        <w:rPr>
          <w:rFonts w:hint="eastAsia"/>
          <w:b/>
        </w:rPr>
        <w:t>欧洲</w:t>
      </w:r>
      <w:r w:rsidRPr="003340E2">
        <w:rPr>
          <w:b/>
        </w:rPr>
        <w:t>1月汽车销量创新低</w:t>
      </w:r>
    </w:p>
    <w:p w14:paraId="3F60B701" w14:textId="5F4B61D3" w:rsidR="00557EFF" w:rsidRDefault="00557EFF" w:rsidP="008B1AEE">
      <w:r>
        <w:t>2月17日，欧洲汽车制造商协会（ACEA）的数据显示，由于半导体短缺继续影响整个地区的汽车销量，2022年1月，欧洲新车注册量达到822,423辆，同比下降2.4%，连续第七个月下降，创历史同期新低。</w:t>
      </w:r>
    </w:p>
    <w:p w14:paraId="7C596A91" w14:textId="77777777" w:rsidR="00557EFF" w:rsidRPr="006B695A" w:rsidRDefault="00557EFF" w:rsidP="008B1AEE">
      <w:pPr>
        <w:pStyle w:val="a8"/>
        <w:numPr>
          <w:ilvl w:val="0"/>
          <w:numId w:val="21"/>
        </w:numPr>
        <w:ind w:firstLineChars="0"/>
        <w:outlineLvl w:val="1"/>
        <w:rPr>
          <w:b/>
        </w:rPr>
      </w:pPr>
      <w:r w:rsidRPr="006B695A">
        <w:rPr>
          <w:rFonts w:hint="eastAsia"/>
          <w:b/>
        </w:rPr>
        <w:t>泰国考虑颁布政策以刺激电动汽车普及</w:t>
      </w:r>
    </w:p>
    <w:p w14:paraId="0D5A2847" w14:textId="77777777" w:rsidR="00557EFF" w:rsidRDefault="00557EFF" w:rsidP="008B1AEE">
      <w:r>
        <w:rPr>
          <w:rFonts w:hint="eastAsia"/>
        </w:rPr>
        <w:t>泰国正在考虑颁布一系列激励措施，包括降低税率和提供现金补贴，以发展电动汽车市场。该国政府认为，这些政策可能会刺激汽车制造商在当地增加投资，使这个东南亚国家成为清洁汽车的生产中心。</w:t>
      </w:r>
    </w:p>
    <w:p w14:paraId="56C7D8F9" w14:textId="77777777" w:rsidR="00557EFF" w:rsidRDefault="00557EFF" w:rsidP="008B1AEE">
      <w:r>
        <w:rPr>
          <w:rFonts w:hint="eastAsia"/>
        </w:rPr>
        <w:t>外媒获得的一份的提案草案显示，泰国政府可能将在不久后根据车辆的类别和车型提供</w:t>
      </w:r>
      <w:r>
        <w:t>7万泰铢（约2,145美元）至15万泰铢（约4,642美元）的补贴。此外，该国还将降低电动汽车的消费税和进口关税。这份草案的起草机构为由泰国副总理SupattanapongPunmeechaow领导的国家电动汽车政策委员会，该委员会是一个由政府和行业官员组成的小组，负责制定政策路线图，以帮助泰国在2035年前实现100%零排放汽车的生产。</w:t>
      </w:r>
    </w:p>
    <w:p w14:paraId="46F90C3C" w14:textId="69F4CBBE" w:rsidR="00557EFF" w:rsidRDefault="00557EFF" w:rsidP="008B1AEE">
      <w:r>
        <w:rPr>
          <w:rFonts w:hint="eastAsia"/>
        </w:rPr>
        <w:t>新的激励措施将持续至</w:t>
      </w:r>
      <w:r>
        <w:t>2025年，届时泰国本土的电动汽车生产将形成势头。提案显示，对电动汽车制造商的税收减免的条件是，到2025年，企业在泰国生产的汽车数量与前几年的进口数量相同或更多。</w:t>
      </w:r>
    </w:p>
    <w:p w14:paraId="5B572EEA" w14:textId="77777777" w:rsidR="00557EFF" w:rsidRPr="00937612" w:rsidRDefault="00557EFF" w:rsidP="008B1AEE">
      <w:pPr>
        <w:pStyle w:val="a8"/>
        <w:numPr>
          <w:ilvl w:val="0"/>
          <w:numId w:val="21"/>
        </w:numPr>
        <w:ind w:firstLineChars="0"/>
        <w:outlineLvl w:val="1"/>
        <w:rPr>
          <w:b/>
        </w:rPr>
      </w:pPr>
      <w:r w:rsidRPr="00937612">
        <w:rPr>
          <w:rFonts w:hint="eastAsia"/>
          <w:b/>
        </w:rPr>
        <w:t>特斯拉竞争对手</w:t>
      </w:r>
      <w:r w:rsidRPr="00937612">
        <w:rPr>
          <w:b/>
        </w:rPr>
        <w:t>Rivian在韩国测试自产电池</w:t>
      </w:r>
    </w:p>
    <w:p w14:paraId="00B45FBF" w14:textId="6F392E08" w:rsidR="00557EFF" w:rsidRPr="00BD1540" w:rsidRDefault="00557EFF">
      <w:r w:rsidRPr="00255DC7">
        <w:rPr>
          <w:rFonts w:hint="eastAsia"/>
        </w:rPr>
        <w:t>美国电动汽车制造商</w:t>
      </w:r>
      <w:r w:rsidRPr="00255DC7">
        <w:t>Rivian将在韩国设立用于电池研发(r&amp;d)的中试生产线。据17日确认的消息，近日，Rivian的高层负责人到访韩国，参观了设置试生产线的工厂用地。</w:t>
      </w:r>
    </w:p>
    <w:p w14:paraId="22C9D903" w14:textId="77777777" w:rsidR="00557EFF" w:rsidRPr="00133823" w:rsidRDefault="00557EFF" w:rsidP="008B1AEE">
      <w:pPr>
        <w:pStyle w:val="a8"/>
        <w:numPr>
          <w:ilvl w:val="0"/>
          <w:numId w:val="21"/>
        </w:numPr>
        <w:ind w:firstLineChars="0"/>
        <w:outlineLvl w:val="1"/>
        <w:rPr>
          <w:b/>
        </w:rPr>
      </w:pPr>
      <w:r w:rsidRPr="00133823">
        <w:rPr>
          <w:rFonts w:hint="eastAsia"/>
          <w:b/>
        </w:rPr>
        <w:t>特斯拉拟</w:t>
      </w:r>
      <w:r w:rsidRPr="00133823">
        <w:rPr>
          <w:b/>
        </w:rPr>
        <w:t>2024年起向澳洲锂矿商Liontown采购锂精矿</w:t>
      </w:r>
    </w:p>
    <w:p w14:paraId="34970B87" w14:textId="77777777" w:rsidR="00557EFF" w:rsidRDefault="00557EFF" w:rsidP="008B1AEE">
      <w:r>
        <w:t>澳大利亚锂矿商LiontownResources公告称，已与特斯拉签署一项为期五年的锂辉石精矿供应协议。</w:t>
      </w:r>
    </w:p>
    <w:p w14:paraId="60987594" w14:textId="7FA7EC54" w:rsidR="00557EFF" w:rsidRPr="00BD1540" w:rsidRDefault="00557EFF" w:rsidP="008B1AEE">
      <w:r>
        <w:rPr>
          <w:rFonts w:hint="eastAsia"/>
        </w:rPr>
        <w:t>根据协议，特斯拉将在从</w:t>
      </w:r>
      <w:r>
        <w:t>2024年开始的第一年采购10万干公吨锂辉石精矿，并在随后的数年增加到每年15万干公吨。</w:t>
      </w:r>
    </w:p>
    <w:p w14:paraId="53E3A6D6" w14:textId="77777777" w:rsidR="00557EFF" w:rsidRPr="00DD3F50" w:rsidRDefault="00557EFF" w:rsidP="008B1AEE">
      <w:pPr>
        <w:pStyle w:val="a8"/>
        <w:numPr>
          <w:ilvl w:val="0"/>
          <w:numId w:val="21"/>
        </w:numPr>
        <w:ind w:firstLineChars="0"/>
        <w:outlineLvl w:val="1"/>
        <w:rPr>
          <w:b/>
        </w:rPr>
      </w:pPr>
      <w:r w:rsidRPr="00DD3F50">
        <w:rPr>
          <w:b/>
        </w:rPr>
        <w:t>沃尔沃公布2021年财报</w:t>
      </w:r>
      <w:r w:rsidRPr="00DD3F50">
        <w:rPr>
          <w:rFonts w:hint="eastAsia"/>
          <w:b/>
        </w:rPr>
        <w:t>净利润增长</w:t>
      </w:r>
      <w:r w:rsidRPr="00DD3F50">
        <w:rPr>
          <w:b/>
        </w:rPr>
        <w:t>82%</w:t>
      </w:r>
    </w:p>
    <w:p w14:paraId="71F79463" w14:textId="6822436E" w:rsidR="00557EFF" w:rsidRPr="00BD1540" w:rsidRDefault="00557EFF" w:rsidP="008B1AEE">
      <w:r>
        <w:rPr>
          <w:rFonts w:hint="eastAsia"/>
        </w:rPr>
        <w:t>沃尔沃汽车公布了</w:t>
      </w:r>
      <w:r>
        <w:t>2021年营收和利润。官方称，在汽车行业零部件供应持续不足的情况下，消费者对该沃尔沃汽车的需求依然强劲。具体来看，沃尔沃汽车2021年营收从上一年的2628亿瑞典克朗增至2820亿瑞典克朗，增幅为7%。营业利润从上一年的85亿瑞典克朗增至203亿瑞典克朗，同比大增138%，营业利润率为7.2%。净利润从78亿瑞典克朗增至142亿瑞典克朗，同比增长82%。官方信息显示，2021年第四季度，沃尔沃汽车营收为801亿瑞典克朗，同比下降6%，虽然消费者需求和订单量一直强劲，但汽车生产因芯片短缺</w:t>
      </w:r>
      <w:r>
        <w:rPr>
          <w:rFonts w:hint="eastAsia"/>
        </w:rPr>
        <w:t>而受到限制。当季度营业利润为</w:t>
      </w:r>
      <w:r>
        <w:t>37亿瑞典克朗，营业利润率为7.1%。</w:t>
      </w:r>
    </w:p>
    <w:p w14:paraId="42049D64" w14:textId="77777777" w:rsidR="00557EFF" w:rsidRPr="005C3D0C" w:rsidRDefault="00557EFF" w:rsidP="008B1AEE">
      <w:pPr>
        <w:pStyle w:val="a8"/>
        <w:numPr>
          <w:ilvl w:val="0"/>
          <w:numId w:val="21"/>
        </w:numPr>
        <w:ind w:firstLineChars="0"/>
        <w:outlineLvl w:val="1"/>
        <w:rPr>
          <w:b/>
        </w:rPr>
      </w:pPr>
      <w:r w:rsidRPr="005C3D0C">
        <w:rPr>
          <w:b/>
        </w:rPr>
        <w:t>印度</w:t>
      </w:r>
      <w:r w:rsidRPr="005C3D0C">
        <w:rPr>
          <w:rFonts w:hint="eastAsia"/>
          <w:b/>
        </w:rPr>
        <w:t>作为减税条件</w:t>
      </w:r>
      <w:r w:rsidRPr="005C3D0C">
        <w:rPr>
          <w:b/>
        </w:rPr>
        <w:t>要求特斯拉采购5亿美元零部件</w:t>
      </w:r>
    </w:p>
    <w:p w14:paraId="7431E0AC" w14:textId="0581C8FA" w:rsidR="00557EFF" w:rsidRPr="00BD1540" w:rsidRDefault="00557EFF" w:rsidP="008B1AEE">
      <w:r w:rsidRPr="00EB7207">
        <w:t>如果特斯拉想要印度政府考虑降低进口特斯拉车辆的关税，该公司需要从印度采购至少5亿美元的汽车零部件。</w:t>
      </w:r>
    </w:p>
    <w:p w14:paraId="388522F1" w14:textId="77777777" w:rsidR="00557EFF" w:rsidRPr="00AD71C5" w:rsidRDefault="00557EFF" w:rsidP="008B1AEE">
      <w:pPr>
        <w:pStyle w:val="a8"/>
        <w:numPr>
          <w:ilvl w:val="0"/>
          <w:numId w:val="21"/>
        </w:numPr>
        <w:ind w:firstLineChars="0"/>
        <w:outlineLvl w:val="1"/>
        <w:rPr>
          <w:b/>
        </w:rPr>
      </w:pPr>
      <w:r w:rsidRPr="00AD71C5">
        <w:rPr>
          <w:rFonts w:hint="eastAsia"/>
          <w:b/>
        </w:rPr>
        <w:t>英特尔加快汽车领域布局</w:t>
      </w:r>
      <w:r w:rsidRPr="00AD71C5">
        <w:rPr>
          <w:b/>
        </w:rPr>
        <w:t>将推出自动驾驶班车</w:t>
      </w:r>
    </w:p>
    <w:p w14:paraId="669A4626" w14:textId="77777777" w:rsidR="00557EFF" w:rsidRDefault="00557EFF" w:rsidP="008B1AEE">
      <w:r>
        <w:t>英特尔旗下自动驾驶部门Mobileye周一宣布，计划与合作伙伴在2024年在美国推出自动驾驶电动班车。</w:t>
      </w:r>
    </w:p>
    <w:p w14:paraId="47820E66" w14:textId="77777777" w:rsidR="00557EFF" w:rsidRDefault="00557EFF" w:rsidP="008B1AEE">
      <w:r>
        <w:rPr>
          <w:rFonts w:hint="eastAsia"/>
        </w:rPr>
        <w:t>据悉，</w:t>
      </w:r>
      <w:r>
        <w:t>Mobileye、本特勒电动汽车系统和Beep将按需推出自动驾驶电动班车，班车预计配备12至14个座位，并且没有方向盘和踏板。</w:t>
      </w:r>
    </w:p>
    <w:p w14:paraId="636F3CCA" w14:textId="77777777" w:rsidR="00557EFF" w:rsidRDefault="00557EFF" w:rsidP="008B1AEE">
      <w:r>
        <w:rPr>
          <w:rFonts w:hint="eastAsia"/>
        </w:rPr>
        <w:t>移动服务提供商</w:t>
      </w:r>
      <w:r>
        <w:t>Beep的顾问委员会成员Hinrichwoebken表示，这些车辆将在限速每小时35英里的“封闭区域”运行。</w:t>
      </w:r>
    </w:p>
    <w:p w14:paraId="3D7BF424" w14:textId="69DF2966" w:rsidR="00557EFF" w:rsidRDefault="00557EFF" w:rsidP="008B1AEE"/>
    <w:sectPr w:rsidR="00557EFF" w:rsidSect="006211AB">
      <w:headerReference w:type="default" r:id="rId15"/>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285FB" w14:textId="77777777" w:rsidR="00993C19" w:rsidRDefault="00993C19" w:rsidP="008B1AEE">
      <w:r>
        <w:separator/>
      </w:r>
    </w:p>
  </w:endnote>
  <w:endnote w:type="continuationSeparator" w:id="0">
    <w:p w14:paraId="09EBE476" w14:textId="77777777" w:rsidR="00993C19" w:rsidRDefault="00993C19" w:rsidP="008B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F18DC" w14:textId="77777777" w:rsidR="00993C19" w:rsidRDefault="00993C19" w:rsidP="008B1AEE">
      <w:r>
        <w:separator/>
      </w:r>
    </w:p>
  </w:footnote>
  <w:footnote w:type="continuationSeparator" w:id="0">
    <w:p w14:paraId="5EE48D20" w14:textId="77777777" w:rsidR="00993C19" w:rsidRDefault="00993C19" w:rsidP="008B1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9245" w14:textId="40F46328" w:rsidR="006211AB" w:rsidRDefault="006211AB" w:rsidP="006211AB">
    <w:pPr>
      <w:pStyle w:val="a3"/>
      <w:jc w:val="left"/>
    </w:pPr>
    <w:r>
      <w:rPr>
        <w:noProof/>
      </w:rPr>
      <w:drawing>
        <wp:inline distT="0" distB="0" distL="0" distR="0" wp14:anchorId="7A8CDBBB" wp14:editId="08D68BD9">
          <wp:extent cx="895350" cy="292100"/>
          <wp:effectExtent l="0" t="0" r="0" b="0"/>
          <wp:docPr id="3" name="图片 3"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F1D2B2B6"/>
    <w:lvl w:ilvl="0">
      <w:start w:val="1"/>
      <w:numFmt w:val="decimal"/>
      <w:lvlText w:val="%1."/>
      <w:lvlJc w:val="left"/>
      <w:pPr>
        <w:ind w:left="420" w:hanging="420"/>
      </w:pPr>
      <w:rPr>
        <w:rFonts w:hint="default"/>
        <w:b/>
        <w:bCs/>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2"/>
  </w:num>
  <w:num w:numId="4">
    <w:abstractNumId w:val="14"/>
  </w:num>
  <w:num w:numId="5">
    <w:abstractNumId w:val="13"/>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19"/>
  </w:num>
  <w:num w:numId="15">
    <w:abstractNumId w:val="18"/>
  </w:num>
  <w:num w:numId="16">
    <w:abstractNumId w:val="15"/>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576"/>
    <w:rsid w:val="00015F61"/>
    <w:rsid w:val="000C460A"/>
    <w:rsid w:val="001805D4"/>
    <w:rsid w:val="001B2196"/>
    <w:rsid w:val="002D726C"/>
    <w:rsid w:val="00355E15"/>
    <w:rsid w:val="003E7FC9"/>
    <w:rsid w:val="00476C54"/>
    <w:rsid w:val="00484733"/>
    <w:rsid w:val="00496D2E"/>
    <w:rsid w:val="004E7587"/>
    <w:rsid w:val="004E763D"/>
    <w:rsid w:val="00537C54"/>
    <w:rsid w:val="00557EFF"/>
    <w:rsid w:val="0056038D"/>
    <w:rsid w:val="00610396"/>
    <w:rsid w:val="006211AB"/>
    <w:rsid w:val="00713780"/>
    <w:rsid w:val="0075328D"/>
    <w:rsid w:val="00761905"/>
    <w:rsid w:val="0077728D"/>
    <w:rsid w:val="00782D0C"/>
    <w:rsid w:val="007832A5"/>
    <w:rsid w:val="00797BA7"/>
    <w:rsid w:val="008171CF"/>
    <w:rsid w:val="00856A53"/>
    <w:rsid w:val="00871576"/>
    <w:rsid w:val="008B1AEE"/>
    <w:rsid w:val="009628AD"/>
    <w:rsid w:val="00983437"/>
    <w:rsid w:val="00993C19"/>
    <w:rsid w:val="00A87ABC"/>
    <w:rsid w:val="00AC38DB"/>
    <w:rsid w:val="00AE7B77"/>
    <w:rsid w:val="00B26774"/>
    <w:rsid w:val="00BA21D2"/>
    <w:rsid w:val="00BD1540"/>
    <w:rsid w:val="00CC3CD0"/>
    <w:rsid w:val="00D16A6F"/>
    <w:rsid w:val="00D77ADD"/>
    <w:rsid w:val="00DA01FA"/>
    <w:rsid w:val="00DD6BB3"/>
    <w:rsid w:val="00E07130"/>
    <w:rsid w:val="00E10C77"/>
    <w:rsid w:val="00E53411"/>
    <w:rsid w:val="00E74D2A"/>
    <w:rsid w:val="00E76EDC"/>
    <w:rsid w:val="00E92CE7"/>
    <w:rsid w:val="00F46875"/>
    <w:rsid w:val="00F81D15"/>
    <w:rsid w:val="00F82126"/>
    <w:rsid w:val="00F91D79"/>
    <w:rsid w:val="00FA2154"/>
    <w:rsid w:val="00FB2F70"/>
    <w:rsid w:val="00FF4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6078B"/>
  <w15:chartTrackingRefBased/>
  <w15:docId w15:val="{B5093A3E-2102-407E-8111-CB7CAD0BC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1AEE"/>
    <w:pPr>
      <w:widowControl w:val="0"/>
      <w:jc w:val="both"/>
    </w:pPr>
    <w:rPr>
      <w:szCs w:val="24"/>
    </w:rPr>
  </w:style>
  <w:style w:type="paragraph" w:styleId="2">
    <w:name w:val="heading 2"/>
    <w:basedOn w:val="a"/>
    <w:next w:val="a"/>
    <w:link w:val="20"/>
    <w:semiHidden/>
    <w:unhideWhenUsed/>
    <w:qFormat/>
    <w:rsid w:val="008B1AE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B1A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B1AEE"/>
    <w:rPr>
      <w:sz w:val="18"/>
      <w:szCs w:val="18"/>
    </w:rPr>
  </w:style>
  <w:style w:type="paragraph" w:styleId="a5">
    <w:name w:val="footer"/>
    <w:basedOn w:val="a"/>
    <w:link w:val="a6"/>
    <w:unhideWhenUsed/>
    <w:rsid w:val="008B1AEE"/>
    <w:pPr>
      <w:tabs>
        <w:tab w:val="center" w:pos="4153"/>
        <w:tab w:val="right" w:pos="8306"/>
      </w:tabs>
      <w:snapToGrid w:val="0"/>
      <w:jc w:val="left"/>
    </w:pPr>
    <w:rPr>
      <w:sz w:val="18"/>
      <w:szCs w:val="18"/>
    </w:rPr>
  </w:style>
  <w:style w:type="character" w:customStyle="1" w:styleId="a6">
    <w:name w:val="页脚 字符"/>
    <w:basedOn w:val="a0"/>
    <w:link w:val="a5"/>
    <w:rsid w:val="008B1AEE"/>
    <w:rPr>
      <w:sz w:val="18"/>
      <w:szCs w:val="18"/>
    </w:rPr>
  </w:style>
  <w:style w:type="character" w:customStyle="1" w:styleId="20">
    <w:name w:val="标题 2 字符"/>
    <w:basedOn w:val="a0"/>
    <w:link w:val="2"/>
    <w:semiHidden/>
    <w:rsid w:val="008B1AEE"/>
    <w:rPr>
      <w:rFonts w:asciiTheme="majorHAnsi" w:eastAsiaTheme="majorEastAsia" w:hAnsiTheme="majorHAnsi" w:cstheme="majorBidi"/>
      <w:b/>
      <w:bCs/>
      <w:sz w:val="32"/>
      <w:szCs w:val="32"/>
    </w:rPr>
  </w:style>
  <w:style w:type="character" w:styleId="a7">
    <w:name w:val="Strong"/>
    <w:basedOn w:val="a0"/>
    <w:qFormat/>
    <w:rsid w:val="008B1AEE"/>
    <w:rPr>
      <w:b/>
    </w:rPr>
  </w:style>
  <w:style w:type="paragraph" w:customStyle="1" w:styleId="1">
    <w:name w:val="列出段落1"/>
    <w:basedOn w:val="a"/>
    <w:uiPriority w:val="99"/>
    <w:qFormat/>
    <w:rsid w:val="008B1AEE"/>
    <w:pPr>
      <w:ind w:firstLineChars="200" w:firstLine="420"/>
    </w:pPr>
  </w:style>
  <w:style w:type="paragraph" w:styleId="a8">
    <w:name w:val="List Paragraph"/>
    <w:basedOn w:val="a"/>
    <w:uiPriority w:val="34"/>
    <w:qFormat/>
    <w:rsid w:val="008B1AEE"/>
    <w:pPr>
      <w:ind w:firstLineChars="200" w:firstLine="420"/>
    </w:pPr>
  </w:style>
  <w:style w:type="paragraph" w:styleId="a9">
    <w:name w:val="Balloon Text"/>
    <w:basedOn w:val="a"/>
    <w:link w:val="aa"/>
    <w:rsid w:val="008B1AEE"/>
    <w:rPr>
      <w:sz w:val="18"/>
      <w:szCs w:val="18"/>
    </w:rPr>
  </w:style>
  <w:style w:type="character" w:customStyle="1" w:styleId="aa">
    <w:name w:val="批注框文本 字符"/>
    <w:basedOn w:val="a0"/>
    <w:link w:val="a9"/>
    <w:rsid w:val="008B1AEE"/>
    <w:rPr>
      <w:sz w:val="18"/>
      <w:szCs w:val="18"/>
    </w:rPr>
  </w:style>
  <w:style w:type="character" w:customStyle="1" w:styleId="apple-converted-space">
    <w:name w:val="apple-converted-space"/>
    <w:basedOn w:val="a0"/>
    <w:rsid w:val="008B1AEE"/>
  </w:style>
  <w:style w:type="character" w:styleId="ab">
    <w:name w:val="annotation reference"/>
    <w:basedOn w:val="a0"/>
    <w:uiPriority w:val="99"/>
    <w:semiHidden/>
    <w:unhideWhenUsed/>
    <w:rsid w:val="008B1AEE"/>
    <w:rPr>
      <w:sz w:val="21"/>
      <w:szCs w:val="21"/>
    </w:rPr>
  </w:style>
  <w:style w:type="paragraph" w:styleId="ac">
    <w:name w:val="annotation text"/>
    <w:basedOn w:val="a"/>
    <w:link w:val="ad"/>
    <w:uiPriority w:val="99"/>
    <w:semiHidden/>
    <w:unhideWhenUsed/>
    <w:rsid w:val="008B1AEE"/>
    <w:pPr>
      <w:jc w:val="left"/>
    </w:pPr>
  </w:style>
  <w:style w:type="character" w:customStyle="1" w:styleId="ad">
    <w:name w:val="批注文字 字符"/>
    <w:basedOn w:val="a0"/>
    <w:link w:val="ac"/>
    <w:uiPriority w:val="99"/>
    <w:semiHidden/>
    <w:rsid w:val="008B1AEE"/>
    <w:rPr>
      <w:szCs w:val="24"/>
    </w:rPr>
  </w:style>
  <w:style w:type="paragraph" w:styleId="ae">
    <w:name w:val="annotation subject"/>
    <w:basedOn w:val="ac"/>
    <w:next w:val="ac"/>
    <w:link w:val="af"/>
    <w:uiPriority w:val="99"/>
    <w:semiHidden/>
    <w:unhideWhenUsed/>
    <w:rsid w:val="008B1AEE"/>
    <w:rPr>
      <w:b/>
      <w:bCs/>
    </w:rPr>
  </w:style>
  <w:style w:type="character" w:customStyle="1" w:styleId="af">
    <w:name w:val="批注主题 字符"/>
    <w:basedOn w:val="ad"/>
    <w:link w:val="ae"/>
    <w:uiPriority w:val="99"/>
    <w:semiHidden/>
    <w:rsid w:val="008B1AEE"/>
    <w:rPr>
      <w:b/>
      <w:bCs/>
      <w:szCs w:val="24"/>
    </w:rPr>
  </w:style>
  <w:style w:type="character" w:styleId="af0">
    <w:name w:val="Hyperlink"/>
    <w:basedOn w:val="a0"/>
    <w:uiPriority w:val="99"/>
    <w:unhideWhenUsed/>
    <w:rsid w:val="008B1AEE"/>
    <w:rPr>
      <w:color w:val="0563C1" w:themeColor="hyperlink"/>
      <w:u w:val="single"/>
    </w:rPr>
  </w:style>
  <w:style w:type="character" w:styleId="af1">
    <w:name w:val="Unresolved Mention"/>
    <w:basedOn w:val="a0"/>
    <w:uiPriority w:val="99"/>
    <w:semiHidden/>
    <w:unhideWhenUsed/>
    <w:rsid w:val="006211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08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11</Pages>
  <Words>1903</Words>
  <Characters>10853</Characters>
  <Application>Microsoft Office Word</Application>
  <DocSecurity>0</DocSecurity>
  <Lines>90</Lines>
  <Paragraphs>25</Paragraphs>
  <ScaleCrop>false</ScaleCrop>
  <Company/>
  <LinksUpToDate>false</LinksUpToDate>
  <CharactersWithSpaces>12731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2022-02-23T06:01:00Z</dcterms:created>
  <dcterms:modified xsi:type="dcterms:W3CDTF">2022-02-23T06:56:00Z</dcterms:modified>
</cp:coreProperties>
</file>